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346529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2521A0">
        <w:t>Westfield Primary Acad</w:t>
      </w:r>
      <w:r w:rsidR="00B94D47">
        <w:t>e</w:t>
      </w:r>
      <w:r w:rsidR="002521A0">
        <w:t>my</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A2D24A4" w:rsidR="002940F3" w:rsidRDefault="002521A0" w:rsidP="00C31636">
            <w:pPr>
              <w:pStyle w:val="TableRow"/>
              <w:ind w:left="0" w:right="0"/>
            </w:pPr>
            <w:r>
              <w:t>419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7FBD974" w:rsidR="002940F3" w:rsidRDefault="002521A0" w:rsidP="00C31636">
            <w:pPr>
              <w:pStyle w:val="TableRow"/>
              <w:ind w:left="0" w:right="0"/>
            </w:pPr>
            <w:r>
              <w:t>24.6%</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BF3A8" w14:textId="36AC8FDD" w:rsidR="002940F3" w:rsidRDefault="002521A0" w:rsidP="00C31636">
            <w:pPr>
              <w:pStyle w:val="TableRow"/>
              <w:ind w:left="0" w:right="0"/>
            </w:pPr>
            <w:r>
              <w:t xml:space="preserve">2023 – 2027 </w:t>
            </w:r>
          </w:p>
          <w:p w14:paraId="2A7D54BF" w14:textId="187E661B" w:rsidR="002521A0" w:rsidRPr="00976AC7" w:rsidRDefault="002521A0" w:rsidP="00C31636">
            <w:pPr>
              <w:pStyle w:val="TableRow"/>
              <w:ind w:left="0" w:right="0"/>
              <w:rPr>
                <w:b/>
                <w:bCs/>
              </w:rPr>
            </w:pPr>
            <w:r w:rsidRPr="00976AC7">
              <w:rPr>
                <w:b/>
                <w:bCs/>
              </w:rPr>
              <w:t>UPDATE: September 2025</w:t>
            </w:r>
            <w:r w:rsidR="00976AC7">
              <w:rPr>
                <w:b/>
                <w:bCs/>
              </w:rPr>
              <w:t xml:space="preserve"> </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DAF558F" w:rsidR="002940F3" w:rsidRDefault="002521A0"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8665916" w:rsidR="002940F3" w:rsidRDefault="002521A0"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DA9CFD" w:rsidR="002940F3" w:rsidRDefault="002521A0" w:rsidP="00C31636">
            <w:pPr>
              <w:pStyle w:val="TableRow"/>
              <w:ind w:left="0" w:right="0"/>
            </w:pPr>
            <w:r>
              <w:t>Carly Moody</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BC3E508" w:rsidR="002940F3" w:rsidRDefault="002521A0" w:rsidP="00C31636">
            <w:pPr>
              <w:pStyle w:val="TableRow"/>
              <w:ind w:left="0" w:right="0"/>
            </w:pPr>
            <w:r>
              <w:t>Toby Gooch</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D9B13F4" w:rsidR="002940F3" w:rsidRDefault="002521A0" w:rsidP="00C31636">
            <w:pPr>
              <w:pStyle w:val="TableRow"/>
              <w:ind w:left="0" w:right="0"/>
            </w:pPr>
            <w:r>
              <w:t>Marc Rowland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7DF55B8" w:rsidR="00E66558" w:rsidRDefault="009D71E8" w:rsidP="00C31636">
            <w:pPr>
              <w:pStyle w:val="TableRow"/>
              <w:ind w:left="0" w:right="0"/>
            </w:pPr>
            <w:r>
              <w:t>£</w:t>
            </w:r>
            <w:r w:rsidR="00BB34CE">
              <w:t>150,739</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DE85A08" w:rsidR="00E66558" w:rsidRDefault="009D71E8" w:rsidP="00C31636">
            <w:pPr>
              <w:pStyle w:val="TableRow"/>
              <w:ind w:left="0" w:right="0"/>
            </w:pPr>
            <w:r>
              <w:t>£</w:t>
            </w:r>
            <w:r w:rsidR="00BB34CE">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8DA3D49" w:rsidR="00E66558" w:rsidRDefault="009D71E8" w:rsidP="00C31636">
            <w:pPr>
              <w:pStyle w:val="TableRow"/>
              <w:ind w:left="0" w:right="0"/>
            </w:pPr>
            <w:r>
              <w:t>£</w:t>
            </w:r>
            <w:r w:rsidR="004A10BC">
              <w:t>150,739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174C6" w14:textId="072D1197" w:rsidR="00BF4198" w:rsidRDefault="00696283" w:rsidP="00B94D47">
            <w:pPr>
              <w:pStyle w:val="NormalWeb"/>
              <w:rPr>
                <w:rFonts w:ascii="Arial" w:hAnsi="Arial" w:cs="Arial"/>
                <w:color w:val="111111"/>
                <w:shd w:val="clear" w:color="auto" w:fill="FFFFFF"/>
              </w:rPr>
            </w:pPr>
            <w:r>
              <w:rPr>
                <w:rFonts w:ascii="Arial" w:hAnsi="Arial" w:cs="Arial"/>
                <w:color w:val="111111"/>
                <w:shd w:val="clear" w:color="auto" w:fill="FFFFFF"/>
              </w:rPr>
              <w:t>At Westfield, our pupil premium strategy is firmly rooted in addressing the complex barriers faced by our disadvantaged pupils, ensuring they receive equitable opportunities to thrive academically and personally. Recognising the significant socio-economic challenges within our community, where adult skills and education deprivation are notably high, we are committed to fostering a strong sense of belonging and engaging families through targeted parent education workshops</w:t>
            </w:r>
            <w:r w:rsidR="0045164B">
              <w:rPr>
                <w:rFonts w:ascii="Arial" w:hAnsi="Arial" w:cs="Arial"/>
                <w:color w:val="111111"/>
                <w:shd w:val="clear" w:color="auto" w:fill="FFFFFF"/>
              </w:rPr>
              <w:t xml:space="preserve"> to </w:t>
            </w:r>
            <w:r w:rsidR="006B721F">
              <w:rPr>
                <w:rFonts w:ascii="Arial" w:hAnsi="Arial" w:cs="Arial"/>
                <w:color w:val="111111"/>
                <w:shd w:val="clear" w:color="auto" w:fill="FFFFFF"/>
              </w:rPr>
              <w:t>develop a network of support around our pupils</w:t>
            </w:r>
            <w:r>
              <w:rPr>
                <w:rFonts w:ascii="Arial" w:hAnsi="Arial" w:cs="Arial"/>
                <w:color w:val="111111"/>
                <w:shd w:val="clear" w:color="auto" w:fill="FFFFFF"/>
              </w:rPr>
              <w:t xml:space="preserve">. </w:t>
            </w:r>
          </w:p>
          <w:p w14:paraId="0129987A" w14:textId="77777777" w:rsidR="009F29A5" w:rsidRDefault="00696283" w:rsidP="00B94D47">
            <w:pPr>
              <w:pStyle w:val="NormalWeb"/>
              <w:rPr>
                <w:rFonts w:ascii="Arial" w:hAnsi="Arial" w:cs="Arial"/>
                <w:color w:val="111111"/>
                <w:shd w:val="clear" w:color="auto" w:fill="FFFFFF"/>
              </w:rPr>
            </w:pPr>
            <w:r>
              <w:rPr>
                <w:rFonts w:ascii="Arial" w:hAnsi="Arial" w:cs="Arial"/>
                <w:color w:val="111111"/>
                <w:shd w:val="clear" w:color="auto" w:fill="FFFFFF"/>
              </w:rPr>
              <w:t xml:space="preserve">Attendance remains a critical focus, as disadvantaged pupils show higher rates of persistent absence; we will deploy enrichment activities and tailored pastoral support to tackle the underlying causes and re-engage pupils fully in school life. Improving foundational skills in reading and mathematics is paramount. We will prioritise high-quality teaching aligned with the DfE Reading Framework and systematic synthetic phonics programmes, supported by evidence-based interventions to boost reading fluency, oracy, and vocabulary acquisition. </w:t>
            </w:r>
          </w:p>
          <w:p w14:paraId="075B5DCE" w14:textId="77777777" w:rsidR="001A08F2" w:rsidRDefault="00696283" w:rsidP="00B94D47">
            <w:pPr>
              <w:pStyle w:val="NormalWeb"/>
              <w:rPr>
                <w:rFonts w:ascii="Arial" w:hAnsi="Arial" w:cs="Arial"/>
                <w:color w:val="111111"/>
                <w:shd w:val="clear" w:color="auto" w:fill="FFFFFF"/>
              </w:rPr>
            </w:pPr>
            <w:r>
              <w:rPr>
                <w:rFonts w:ascii="Arial" w:hAnsi="Arial" w:cs="Arial"/>
                <w:color w:val="111111"/>
                <w:shd w:val="clear" w:color="auto" w:fill="FFFFFF"/>
              </w:rPr>
              <w:t xml:space="preserve">For pupils with SEND, particularly those with severe social, emotional, and mental health needs, we will provide responsive, systematic instruction and tailored SEND provision to enhance engagement, attendance, and outcomes. We acknowledge the impact of leadership changes on teaching consistency and are dedicated to embedding coherent pedagogical approaches through the Unity Code and ongoing professional coaching for staff, ensuring that all pupils benefit from effective, evidence-informed teaching. </w:t>
            </w:r>
          </w:p>
          <w:p w14:paraId="5A769CBD" w14:textId="77777777" w:rsidR="00E66558" w:rsidRPr="00ED74D2" w:rsidRDefault="00696283" w:rsidP="00B94D47">
            <w:pPr>
              <w:pStyle w:val="NormalWeb"/>
              <w:rPr>
                <w:rFonts w:ascii="Arial" w:hAnsi="Arial" w:cs="Arial"/>
                <w:color w:val="111111"/>
                <w:shd w:val="clear" w:color="auto" w:fill="FFFFFF"/>
              </w:rPr>
            </w:pPr>
            <w:r w:rsidRPr="00ED74D2">
              <w:rPr>
                <w:rFonts w:ascii="Arial" w:hAnsi="Arial" w:cs="Arial"/>
                <w:color w:val="111111"/>
                <w:shd w:val="clear" w:color="auto" w:fill="FFFFFF"/>
              </w:rPr>
              <w:t>This strategy is designed to be dynamic, informed by robust assessment and continuous evaluation, to ensure that every disadvantaged pupil is supported to keep up and succeed within a high-expectation curriculum.</w:t>
            </w:r>
            <w:r w:rsidR="00A30D33" w:rsidRPr="00ED74D2">
              <w:rPr>
                <w:rFonts w:ascii="Arial" w:hAnsi="Arial" w:cs="Arial"/>
                <w:color w:val="111111"/>
                <w:shd w:val="clear" w:color="auto" w:fill="FFFFFF"/>
              </w:rPr>
              <w:t xml:space="preserve"> </w:t>
            </w:r>
          </w:p>
          <w:p w14:paraId="2A7D54E9" w14:textId="649B6181" w:rsidR="00090977" w:rsidRPr="00B94D47" w:rsidRDefault="00090977" w:rsidP="00B94D47">
            <w:pPr>
              <w:pStyle w:val="NormalWeb"/>
            </w:pPr>
            <w:r w:rsidRPr="00ED74D2">
              <w:rPr>
                <w:rFonts w:ascii="Arial" w:hAnsi="Arial" w:cs="Arial"/>
              </w:rPr>
              <w:t xml:space="preserve">Above all else, we aim to ensure that disadvantaged pupils </w:t>
            </w:r>
            <w:r w:rsidR="008353B6" w:rsidRPr="00ED74D2">
              <w:rPr>
                <w:rFonts w:ascii="Arial" w:hAnsi="Arial" w:cs="Arial"/>
              </w:rPr>
              <w:t xml:space="preserve">achieve well </w:t>
            </w:r>
            <w:r w:rsidR="004037B7">
              <w:rPr>
                <w:rFonts w:ascii="Arial" w:hAnsi="Arial" w:cs="Arial"/>
              </w:rPr>
              <w:t xml:space="preserve">(matched with national outcomes) </w:t>
            </w:r>
            <w:r w:rsidR="008353B6" w:rsidRPr="00ED74D2">
              <w:rPr>
                <w:rFonts w:ascii="Arial" w:hAnsi="Arial" w:cs="Arial"/>
              </w:rPr>
              <w:t>and</w:t>
            </w:r>
            <w:r w:rsidR="00F77B60">
              <w:rPr>
                <w:rFonts w:ascii="Arial" w:hAnsi="Arial" w:cs="Arial"/>
              </w:rPr>
              <w:t xml:space="preserve"> that</w:t>
            </w:r>
            <w:r w:rsidR="008353B6" w:rsidRPr="00ED74D2">
              <w:rPr>
                <w:rFonts w:ascii="Arial" w:hAnsi="Arial" w:cs="Arial"/>
              </w:rPr>
              <w:t xml:space="preserve"> their outcomes are aligned with their non-disadvantaged </w:t>
            </w:r>
            <w:r w:rsidR="00ED74D2" w:rsidRPr="00ED74D2">
              <w:rPr>
                <w:rFonts w:ascii="Arial" w:hAnsi="Arial" w:cs="Arial"/>
              </w:rPr>
              <w:t>peers.</w:t>
            </w:r>
            <w:r w:rsidR="00ED74D2">
              <w:t xml:space="preserve">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4108CE" w:rsidR="00E66558" w:rsidRDefault="00561EB6" w:rsidP="00C31636">
            <w:pPr>
              <w:pStyle w:val="TableRowCentered"/>
              <w:ind w:left="0" w:right="0"/>
              <w:jc w:val="left"/>
            </w:pPr>
            <w:r>
              <w:t xml:space="preserve">Community skills and education place </w:t>
            </w:r>
            <w:r w:rsidR="00F377D2">
              <w:t xml:space="preserve">un-intentional </w:t>
            </w:r>
            <w:r w:rsidR="00BA493C">
              <w:t>barrier</w:t>
            </w:r>
            <w:r w:rsidR="008B69E8">
              <w:t>s</w:t>
            </w:r>
            <w:r w:rsidR="00BA493C">
              <w:t xml:space="preserve"> </w:t>
            </w:r>
            <w:r w:rsidR="00201791">
              <w:t>on</w:t>
            </w:r>
            <w:r w:rsidR="00BA493C">
              <w:t xml:space="preserve"> pupils</w:t>
            </w:r>
            <w:r w:rsidR="0010171E">
              <w:t>’</w:t>
            </w:r>
            <w:r w:rsidR="00BA493C">
              <w:t xml:space="preserve"> starting points</w:t>
            </w:r>
            <w:r w:rsidR="005368BB">
              <w:t xml:space="preserve"> and their </w:t>
            </w:r>
            <w:r w:rsidR="00201791">
              <w:t xml:space="preserve">educational </w:t>
            </w:r>
            <w:r w:rsidR="005368BB">
              <w:t xml:space="preserve">support outside of school. </w:t>
            </w:r>
            <w:r w:rsidR="000B32B9">
              <w:t xml:space="preserve">The multiple </w:t>
            </w:r>
            <w:r w:rsidR="00201791">
              <w:t>indices</w:t>
            </w:r>
            <w:r w:rsidR="000B32B9">
              <w:t xml:space="preserve"> </w:t>
            </w:r>
            <w:r w:rsidR="004934BA">
              <w:t>of</w:t>
            </w:r>
            <w:r w:rsidR="000B32B9">
              <w:t xml:space="preserve"> deprivation states </w:t>
            </w:r>
            <w:r w:rsidR="00B14F42">
              <w:t>that</w:t>
            </w:r>
            <w:r w:rsidR="000B32B9">
              <w:t xml:space="preserve"> our school’s catchment area is</w:t>
            </w:r>
            <w:r w:rsidR="00B14F42">
              <w:t xml:space="preserve"> 90% more deprived in </w:t>
            </w:r>
            <w:r w:rsidR="00862EC6">
              <w:t xml:space="preserve">adult </w:t>
            </w:r>
            <w:r w:rsidR="0057676C">
              <w:t>‘</w:t>
            </w:r>
            <w:r w:rsidR="00862EC6">
              <w:t>skills and education</w:t>
            </w:r>
            <w:r w:rsidR="0057676C">
              <w:t>’</w:t>
            </w:r>
            <w:r w:rsidR="00B14F42">
              <w:t xml:space="preserve"> tha</w:t>
            </w:r>
            <w:r w:rsidR="001B0CB9">
              <w:t xml:space="preserve">n that </w:t>
            </w:r>
            <w:r w:rsidR="00B14F42">
              <w:t>o</w:t>
            </w:r>
            <w:r w:rsidR="001621CC">
              <w:t>f the rest of the country</w:t>
            </w:r>
            <w:r w:rsidR="00B14F42">
              <w:t>.</w:t>
            </w:r>
            <w:r w:rsidR="00583911">
              <w:t xml:space="preserve"> </w:t>
            </w:r>
            <w:r w:rsidR="0060141B">
              <w:t xml:space="preserve">Our commitment to </w:t>
            </w:r>
            <w:r w:rsidR="00F67E52">
              <w:t xml:space="preserve">fostering positive relationships with our </w:t>
            </w:r>
            <w:r w:rsidR="00CA5385">
              <w:lastRenderedPageBreak/>
              <w:t xml:space="preserve">parent community </w:t>
            </w:r>
            <w:r w:rsidR="00F67E52">
              <w:t>has been extremely effective</w:t>
            </w:r>
            <w:r w:rsidR="0009005C" w:rsidRPr="00701E1E">
              <w:t xml:space="preserve"> </w:t>
            </w:r>
            <w:r w:rsidR="00CE3764" w:rsidRPr="00701E1E">
              <w:t xml:space="preserve">with 73.2% of parents </w:t>
            </w:r>
            <w:r w:rsidR="004C7AA4" w:rsidRPr="00701E1E">
              <w:t xml:space="preserve">agreeing they would recommend our school to others in our 2024 survey (up from </w:t>
            </w:r>
            <w:r w:rsidR="0012616B" w:rsidRPr="00701E1E">
              <w:t>62.1% in 2023)</w:t>
            </w:r>
            <w:r w:rsidR="004C7AA4" w:rsidRPr="00701E1E">
              <w:t>.</w:t>
            </w:r>
            <w:r w:rsidR="00F67E52" w:rsidRPr="00701E1E">
              <w:t xml:space="preserve"> </w:t>
            </w:r>
            <w:r w:rsidR="00BA7097">
              <w:t xml:space="preserve">Our </w:t>
            </w:r>
            <w:r w:rsidR="00F67E52">
              <w:t xml:space="preserve">parents/carers </w:t>
            </w:r>
            <w:r w:rsidR="00CA5385">
              <w:t xml:space="preserve">are keen to engage in school life and want their children to be successful.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44B" w14:textId="2F328E42" w:rsidR="00D06AEA" w:rsidRDefault="00116802" w:rsidP="00C31636">
            <w:pPr>
              <w:pStyle w:val="TableRowCentered"/>
              <w:ind w:left="0" w:right="0"/>
              <w:jc w:val="left"/>
              <w:rPr>
                <w:sz w:val="22"/>
                <w:szCs w:val="22"/>
              </w:rPr>
            </w:pPr>
            <w:r>
              <w:rPr>
                <w:sz w:val="22"/>
                <w:szCs w:val="22"/>
              </w:rPr>
              <w:t xml:space="preserve">Disadvantaged pupils are attending school </w:t>
            </w:r>
            <w:r w:rsidR="00AA763A">
              <w:rPr>
                <w:sz w:val="22"/>
                <w:szCs w:val="22"/>
              </w:rPr>
              <w:t xml:space="preserve">proportionately </w:t>
            </w:r>
            <w:r>
              <w:rPr>
                <w:sz w:val="22"/>
                <w:szCs w:val="22"/>
              </w:rPr>
              <w:t xml:space="preserve">less often than their peers, there is a disparity between the </w:t>
            </w:r>
            <w:r w:rsidR="00AA763A">
              <w:rPr>
                <w:sz w:val="22"/>
                <w:szCs w:val="22"/>
              </w:rPr>
              <w:t>percentage</w:t>
            </w:r>
            <w:r>
              <w:rPr>
                <w:sz w:val="22"/>
                <w:szCs w:val="22"/>
              </w:rPr>
              <w:t xml:space="preserve"> of persistently absent </w:t>
            </w:r>
            <w:r w:rsidR="00A63764">
              <w:rPr>
                <w:sz w:val="22"/>
                <w:szCs w:val="22"/>
              </w:rPr>
              <w:t>pupil premium eligible pupils and those who are not</w:t>
            </w:r>
            <w:r w:rsidR="00AA763A">
              <w:rPr>
                <w:sz w:val="22"/>
                <w:szCs w:val="22"/>
              </w:rPr>
              <w:t xml:space="preserve">: </w:t>
            </w:r>
            <w:r w:rsidR="006B67C9">
              <w:rPr>
                <w:sz w:val="22"/>
                <w:szCs w:val="22"/>
              </w:rPr>
              <w:t>absence bandings show;</w:t>
            </w:r>
          </w:p>
          <w:tbl>
            <w:tblPr>
              <w:tblStyle w:val="TableGrid"/>
              <w:tblW w:w="0" w:type="auto"/>
              <w:tblLook w:val="04A0" w:firstRow="1" w:lastRow="0" w:firstColumn="1" w:lastColumn="0" w:noHBand="0" w:noVBand="1"/>
            </w:tblPr>
            <w:tblGrid>
              <w:gridCol w:w="3892"/>
              <w:gridCol w:w="3891"/>
            </w:tblGrid>
            <w:tr w:rsidR="00AA763A" w14:paraId="0A20CD03" w14:textId="77777777" w:rsidTr="00D54A97">
              <w:trPr>
                <w:trHeight w:val="416"/>
              </w:trPr>
              <w:tc>
                <w:tcPr>
                  <w:tcW w:w="4508" w:type="dxa"/>
                </w:tcPr>
                <w:p w14:paraId="7D6CBDC4" w14:textId="77777777" w:rsidR="00AA763A" w:rsidRPr="000E1FF1" w:rsidRDefault="00AA763A" w:rsidP="00AA763A">
                  <w:pPr>
                    <w:pStyle w:val="TableRowCentered"/>
                    <w:ind w:left="0" w:right="0"/>
                    <w:jc w:val="left"/>
                    <w:rPr>
                      <w:rFonts w:cs="Arial"/>
                      <w:b/>
                      <w:bCs/>
                      <w:sz w:val="22"/>
                      <w:szCs w:val="22"/>
                    </w:rPr>
                  </w:pPr>
                  <w:r w:rsidRPr="000E1FF1">
                    <w:rPr>
                      <w:rFonts w:cs="Arial"/>
                      <w:b/>
                      <w:bCs/>
                      <w:sz w:val="22"/>
                      <w:szCs w:val="22"/>
                    </w:rPr>
                    <w:t xml:space="preserve">FSM/PP </w:t>
                  </w:r>
                </w:p>
              </w:tc>
              <w:tc>
                <w:tcPr>
                  <w:tcW w:w="4508" w:type="dxa"/>
                </w:tcPr>
                <w:p w14:paraId="4FB91328" w14:textId="77777777" w:rsidR="00AA763A" w:rsidRPr="000E1FF1" w:rsidRDefault="00AA763A" w:rsidP="00AA763A">
                  <w:pPr>
                    <w:pStyle w:val="TableRowCentered"/>
                    <w:ind w:left="0" w:right="0"/>
                    <w:jc w:val="left"/>
                    <w:rPr>
                      <w:rFonts w:cs="Arial"/>
                      <w:b/>
                      <w:bCs/>
                      <w:sz w:val="22"/>
                      <w:szCs w:val="22"/>
                    </w:rPr>
                  </w:pPr>
                  <w:r w:rsidRPr="000E1FF1">
                    <w:rPr>
                      <w:rFonts w:cs="Arial"/>
                      <w:b/>
                      <w:bCs/>
                      <w:sz w:val="22"/>
                      <w:szCs w:val="22"/>
                    </w:rPr>
                    <w:t>Non-FSM/PP</w:t>
                  </w:r>
                </w:p>
              </w:tc>
            </w:tr>
            <w:tr w:rsidR="00AA763A" w14:paraId="67A2AF6E" w14:textId="77777777" w:rsidTr="00C378E0">
              <w:trPr>
                <w:trHeight w:val="2927"/>
              </w:trPr>
              <w:tc>
                <w:tcPr>
                  <w:tcW w:w="4508" w:type="dxa"/>
                </w:tcPr>
                <w:p w14:paraId="276599A6"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10%-15%: 11 pupils (12%)</w:t>
                  </w:r>
                </w:p>
                <w:p w14:paraId="7FC43990"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15%-20%: 6 pupils (6.5%)</w:t>
                  </w:r>
                </w:p>
                <w:p w14:paraId="25E1355C"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20%-25%: 2 pupils (2.2%)</w:t>
                  </w:r>
                </w:p>
                <w:p w14:paraId="4BC8E190"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25%-30%: 0 pupils (0%)</w:t>
                  </w:r>
                </w:p>
                <w:p w14:paraId="748234AA"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30%-35%: 1 pupil (1.1%)</w:t>
                  </w:r>
                </w:p>
                <w:p w14:paraId="422B586A"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35%-40%: 1 pupil (1.1%)</w:t>
                  </w:r>
                </w:p>
                <w:p w14:paraId="13EBC1B0"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40%-45%: 3 pupil (3.3%)</w:t>
                  </w:r>
                </w:p>
                <w:p w14:paraId="567234FC"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45%-50%: 1 pupil (1.1%)</w:t>
                  </w:r>
                </w:p>
                <w:p w14:paraId="76677C4A"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&gt;50%: 1 pupil (1.1%)</w:t>
                  </w:r>
                </w:p>
              </w:tc>
              <w:tc>
                <w:tcPr>
                  <w:tcW w:w="4508" w:type="dxa"/>
                </w:tcPr>
                <w:p w14:paraId="7B180D6D"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10%-15%: 26 pupils (7.9%)</w:t>
                  </w:r>
                </w:p>
                <w:p w14:paraId="64C81A30"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15%-20%: 14 pupils (4.2%)</w:t>
                  </w:r>
                </w:p>
                <w:p w14:paraId="6BA18C8F"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20%-25%: 1 pupil (0.3%)</w:t>
                  </w:r>
                </w:p>
                <w:p w14:paraId="2F9A4415"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25%-30%: 2 pupils (0.6%)</w:t>
                  </w:r>
                </w:p>
                <w:p w14:paraId="4C32B677"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30%-35%: 4 pupil (1.2%)</w:t>
                  </w:r>
                </w:p>
                <w:p w14:paraId="508ECF18"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35%-40%: 1 pupil (0.3%)</w:t>
                  </w:r>
                </w:p>
                <w:p w14:paraId="11AB99B9"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40%-45%: 1 pupil (0.3%)</w:t>
                  </w:r>
                </w:p>
                <w:p w14:paraId="7F35050D" w14:textId="77777777" w:rsidR="00AA763A" w:rsidRPr="00AA763A" w:rsidRDefault="00AA763A" w:rsidP="00AA763A">
                  <w:pPr>
                    <w:pStyle w:val="TableRowCentered"/>
                    <w:ind w:left="0" w:right="0"/>
                    <w:jc w:val="left"/>
                    <w:rPr>
                      <w:rFonts w:cs="Arial"/>
                      <w:sz w:val="22"/>
                      <w:szCs w:val="22"/>
                    </w:rPr>
                  </w:pPr>
                  <w:r w:rsidRPr="00AA763A">
                    <w:rPr>
                      <w:rFonts w:cs="Arial"/>
                      <w:sz w:val="22"/>
                      <w:szCs w:val="22"/>
                    </w:rPr>
                    <w:t>45%-50%: 0 pupils (0%)</w:t>
                  </w:r>
                </w:p>
                <w:p w14:paraId="300FC26D" w14:textId="77777777" w:rsidR="00AA763A" w:rsidRPr="00AA763A" w:rsidRDefault="00AA763A" w:rsidP="00AA763A">
                  <w:pPr>
                    <w:rPr>
                      <w:rFonts w:cs="Arial"/>
                      <w:sz w:val="22"/>
                      <w:szCs w:val="22"/>
                    </w:rPr>
                  </w:pPr>
                  <w:r w:rsidRPr="00AA763A">
                    <w:rPr>
                      <w:rFonts w:cs="Arial"/>
                      <w:sz w:val="22"/>
                      <w:szCs w:val="22"/>
                    </w:rPr>
                    <w:t>&gt;50%: 1 pupil (0.3%)</w:t>
                  </w:r>
                </w:p>
              </w:tc>
            </w:tr>
          </w:tbl>
          <w:p w14:paraId="1A95BC7D" w14:textId="77777777" w:rsidR="00AA763A" w:rsidRDefault="00AA763A" w:rsidP="00C31636">
            <w:pPr>
              <w:pStyle w:val="TableRowCentered"/>
              <w:ind w:left="0" w:right="0"/>
              <w:jc w:val="left"/>
              <w:rPr>
                <w:sz w:val="22"/>
                <w:szCs w:val="22"/>
              </w:rPr>
            </w:pPr>
          </w:p>
          <w:p w14:paraId="2A7D54F4" w14:textId="39FBBD4C" w:rsidR="00E66558" w:rsidRDefault="00E66558" w:rsidP="00C31636">
            <w:pPr>
              <w:pStyle w:val="TableRowCentered"/>
              <w:ind w:left="0" w:right="0"/>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A9580EE" w:rsidR="00E66558" w:rsidRDefault="00305F1F" w:rsidP="00C31636">
            <w:pPr>
              <w:pStyle w:val="TableRowCentered"/>
              <w:ind w:left="0" w:right="0"/>
              <w:jc w:val="left"/>
              <w:rPr>
                <w:sz w:val="22"/>
                <w:szCs w:val="22"/>
              </w:rPr>
            </w:pPr>
            <w:r>
              <w:rPr>
                <w:sz w:val="22"/>
                <w:szCs w:val="22"/>
              </w:rPr>
              <w:t xml:space="preserve">Reading fluency, oracy skills and vocabulary </w:t>
            </w:r>
            <w:r w:rsidR="000063D4">
              <w:rPr>
                <w:sz w:val="22"/>
                <w:szCs w:val="22"/>
              </w:rPr>
              <w:t>acquisition</w:t>
            </w:r>
            <w:r>
              <w:rPr>
                <w:sz w:val="22"/>
                <w:szCs w:val="22"/>
              </w:rPr>
              <w:t xml:space="preserve"> are </w:t>
            </w:r>
            <w:r w:rsidR="00090642">
              <w:rPr>
                <w:sz w:val="22"/>
                <w:szCs w:val="22"/>
              </w:rPr>
              <w:t>low across disadvantaged pupils</w:t>
            </w:r>
            <w:r w:rsidR="002B0D91">
              <w:rPr>
                <w:sz w:val="22"/>
                <w:szCs w:val="22"/>
              </w:rPr>
              <w:t>.</w:t>
            </w:r>
            <w:r w:rsidR="00090642">
              <w:rPr>
                <w:sz w:val="22"/>
                <w:szCs w:val="22"/>
              </w:rPr>
              <w:t xml:space="preserve"> 53% of pupil premium eligible </w:t>
            </w:r>
            <w:r w:rsidR="009170E2">
              <w:rPr>
                <w:sz w:val="22"/>
                <w:szCs w:val="22"/>
              </w:rPr>
              <w:t>students have a reading speed &lt;100 WPM (Y2 – 6)</w:t>
            </w:r>
            <w:r w:rsidR="00C605EF">
              <w:rPr>
                <w:sz w:val="22"/>
                <w:szCs w:val="22"/>
              </w:rPr>
              <w:t xml:space="preserve"> </w:t>
            </w:r>
            <w:r w:rsidR="004E7158">
              <w:rPr>
                <w:sz w:val="22"/>
                <w:szCs w:val="22"/>
              </w:rPr>
              <w:t xml:space="preserve">which has been </w:t>
            </w:r>
            <w:r w:rsidR="00C605EF">
              <w:rPr>
                <w:sz w:val="22"/>
                <w:szCs w:val="22"/>
              </w:rPr>
              <w:t xml:space="preserve">identified through </w:t>
            </w:r>
            <w:r w:rsidR="00DB2C1B">
              <w:rPr>
                <w:sz w:val="22"/>
                <w:szCs w:val="22"/>
              </w:rPr>
              <w:t xml:space="preserve">internal </w:t>
            </w:r>
            <w:r w:rsidR="00673462">
              <w:rPr>
                <w:sz w:val="22"/>
                <w:szCs w:val="22"/>
              </w:rPr>
              <w:t>fluency assessments, YARC assessments and Herts for Learning.</w:t>
            </w:r>
            <w:r w:rsidR="009170E2">
              <w:rPr>
                <w:sz w:val="22"/>
                <w:szCs w:val="22"/>
              </w:rPr>
              <w:t xml:space="preserve"> </w:t>
            </w:r>
            <w:r w:rsidR="004F0FD9">
              <w:rPr>
                <w:sz w:val="22"/>
                <w:szCs w:val="22"/>
              </w:rPr>
              <w:t xml:space="preserve">84% of </w:t>
            </w:r>
            <w:r w:rsidR="00287E5E">
              <w:rPr>
                <w:sz w:val="22"/>
                <w:szCs w:val="22"/>
              </w:rPr>
              <w:t xml:space="preserve">pupil premium eligible </w:t>
            </w:r>
            <w:r w:rsidR="004F0FD9">
              <w:rPr>
                <w:sz w:val="22"/>
                <w:szCs w:val="22"/>
              </w:rPr>
              <w:t>pupils are ‘off track’ in phonics acquisition (Y1)</w:t>
            </w:r>
            <w:r w:rsidR="002B0D91">
              <w:rPr>
                <w:sz w:val="22"/>
                <w:szCs w:val="22"/>
              </w:rPr>
              <w:t xml:space="preserve"> </w:t>
            </w:r>
            <w:r w:rsidR="00673462">
              <w:rPr>
                <w:sz w:val="22"/>
                <w:szCs w:val="22"/>
              </w:rPr>
              <w:t xml:space="preserve">- </w:t>
            </w:r>
            <w:r w:rsidR="00DB2C1B">
              <w:rPr>
                <w:sz w:val="22"/>
                <w:szCs w:val="22"/>
              </w:rPr>
              <w:t>identified through Sounds Write diagnostics and internal trust data</w:t>
            </w:r>
            <w:r w:rsidR="00673462">
              <w:rPr>
                <w:sz w:val="22"/>
                <w:szCs w:val="22"/>
              </w:rPr>
              <w:t xml:space="preserve"> assessments</w:t>
            </w:r>
            <w:r w:rsidR="00DB2C1B">
              <w:rPr>
                <w:sz w:val="22"/>
                <w:szCs w:val="22"/>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FC7E41A" w:rsidR="00E66558" w:rsidRDefault="00E805CF" w:rsidP="00C31636">
            <w:pPr>
              <w:pStyle w:val="TableRowCentered"/>
              <w:ind w:left="0" w:right="0"/>
              <w:jc w:val="left"/>
              <w:rPr>
                <w:iCs/>
                <w:sz w:val="22"/>
              </w:rPr>
            </w:pPr>
            <w:r>
              <w:rPr>
                <w:iCs/>
                <w:sz w:val="22"/>
              </w:rPr>
              <w:t>Increase in severe SEMH</w:t>
            </w:r>
            <w:r w:rsidR="003848D4">
              <w:rPr>
                <w:iCs/>
                <w:sz w:val="22"/>
              </w:rPr>
              <w:t xml:space="preserve"> needs</w:t>
            </w:r>
            <w:r w:rsidR="00645982">
              <w:rPr>
                <w:iCs/>
                <w:sz w:val="22"/>
              </w:rPr>
              <w:t xml:space="preserve">, which have been </w:t>
            </w:r>
            <w:r w:rsidR="003848D4">
              <w:rPr>
                <w:iCs/>
                <w:sz w:val="22"/>
              </w:rPr>
              <w:t xml:space="preserve">identified through </w:t>
            </w:r>
            <w:r w:rsidR="00732074">
              <w:rPr>
                <w:iCs/>
                <w:sz w:val="22"/>
              </w:rPr>
              <w:t>the SEND Graduated Approach</w:t>
            </w:r>
            <w:r w:rsidR="00E034F2">
              <w:rPr>
                <w:iCs/>
                <w:sz w:val="22"/>
              </w:rPr>
              <w:t xml:space="preserve"> cycle of </w:t>
            </w:r>
            <w:r w:rsidR="005D5EA4">
              <w:rPr>
                <w:iCs/>
                <w:sz w:val="22"/>
              </w:rPr>
              <w:t>assessment</w:t>
            </w:r>
            <w:r w:rsidR="003848D4">
              <w:rPr>
                <w:iCs/>
                <w:sz w:val="22"/>
              </w:rPr>
              <w:t>,</w:t>
            </w:r>
            <w:r>
              <w:rPr>
                <w:iCs/>
                <w:sz w:val="22"/>
              </w:rPr>
              <w:t xml:space="preserve"> are impacting on pupils’ ability to engage in learning</w:t>
            </w:r>
            <w:r w:rsidR="006B6273">
              <w:rPr>
                <w:iCs/>
                <w:sz w:val="22"/>
              </w:rPr>
              <w:t xml:space="preserve"> </w:t>
            </w:r>
            <w:r w:rsidR="007C3C9D">
              <w:rPr>
                <w:iCs/>
                <w:sz w:val="22"/>
              </w:rPr>
              <w:t xml:space="preserve">(60.9% of SEND is SEMH </w:t>
            </w:r>
            <w:r w:rsidR="00012895">
              <w:rPr>
                <w:iCs/>
                <w:sz w:val="22"/>
              </w:rPr>
              <w:t>main area or secondary)</w:t>
            </w:r>
            <w:r w:rsidR="00181373">
              <w:rPr>
                <w:iCs/>
                <w:sz w:val="22"/>
              </w:rPr>
              <w:t xml:space="preserve">. </w:t>
            </w:r>
            <w:r w:rsidR="009C7102">
              <w:rPr>
                <w:iCs/>
                <w:sz w:val="22"/>
              </w:rPr>
              <w:t xml:space="preserve">These needs are </w:t>
            </w:r>
            <w:r w:rsidR="00AB19E2">
              <w:rPr>
                <w:iCs/>
                <w:sz w:val="22"/>
              </w:rPr>
              <w:t>further</w:t>
            </w:r>
            <w:r w:rsidR="009C7102">
              <w:rPr>
                <w:iCs/>
                <w:sz w:val="22"/>
              </w:rPr>
              <w:t xml:space="preserve"> impacting on pupil attendance and their </w:t>
            </w:r>
            <w:r w:rsidR="002C3B3D">
              <w:rPr>
                <w:iCs/>
                <w:sz w:val="22"/>
              </w:rPr>
              <w:t xml:space="preserve">engagement </w:t>
            </w:r>
            <w:r w:rsidR="009C7102">
              <w:rPr>
                <w:iCs/>
                <w:sz w:val="22"/>
              </w:rPr>
              <w:t xml:space="preserve">in </w:t>
            </w:r>
            <w:r w:rsidR="00C96E4D">
              <w:rPr>
                <w:iCs/>
                <w:sz w:val="22"/>
              </w:rPr>
              <w:t>lessons/</w:t>
            </w:r>
            <w:r w:rsidR="009C7102">
              <w:rPr>
                <w:iCs/>
                <w:sz w:val="22"/>
              </w:rPr>
              <w:t>school life</w:t>
            </w:r>
            <w:r w:rsidR="00AB19E2">
              <w:rPr>
                <w:iCs/>
                <w:sz w:val="22"/>
              </w:rPr>
              <w:t xml:space="preserve"> leading to a dec</w:t>
            </w:r>
            <w:r w:rsidR="00862EC6">
              <w:rPr>
                <w:iCs/>
                <w:sz w:val="22"/>
              </w:rPr>
              <w:t>rease in pupil outcomes</w:t>
            </w:r>
            <w:r w:rsidR="009C7102">
              <w:rPr>
                <w:iCs/>
                <w:sz w:val="22"/>
              </w:rPr>
              <w:t>.</w:t>
            </w:r>
            <w:r w:rsidR="0093131A">
              <w:rPr>
                <w:iCs/>
                <w:sz w:val="22"/>
              </w:rPr>
              <w:t xml:space="preserve"> 12/3</w:t>
            </w:r>
            <w:r w:rsidR="00BF594E">
              <w:rPr>
                <w:iCs/>
                <w:sz w:val="22"/>
              </w:rPr>
              <w:t>9</w:t>
            </w:r>
            <w:r w:rsidR="0093131A">
              <w:rPr>
                <w:iCs/>
                <w:sz w:val="22"/>
              </w:rPr>
              <w:t xml:space="preserve"> pupils</w:t>
            </w:r>
            <w:r w:rsidR="00D80BD1">
              <w:rPr>
                <w:iCs/>
                <w:sz w:val="22"/>
              </w:rPr>
              <w:t xml:space="preserve"> (30.8%)</w:t>
            </w:r>
            <w:r w:rsidR="0093131A">
              <w:rPr>
                <w:iCs/>
                <w:sz w:val="22"/>
              </w:rPr>
              <w:t xml:space="preserve"> who are in receipt of FSM and</w:t>
            </w:r>
            <w:r w:rsidR="00AE6ADE">
              <w:rPr>
                <w:iCs/>
                <w:sz w:val="22"/>
              </w:rPr>
              <w:t xml:space="preserve"> also have SEN attend school </w:t>
            </w:r>
            <w:r w:rsidR="00406352">
              <w:rPr>
                <w:iCs/>
                <w:sz w:val="22"/>
              </w:rPr>
              <w:t xml:space="preserve">&lt;90% of the time. </w:t>
            </w:r>
            <w:r w:rsidR="009C7102">
              <w:rPr>
                <w:iCs/>
                <w:sz w:val="22"/>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DAC7285" w:rsidR="00E66558" w:rsidRDefault="00451BD7" w:rsidP="00C31636">
            <w:pPr>
              <w:pStyle w:val="TableRowCentered"/>
              <w:ind w:left="0" w:right="0"/>
              <w:jc w:val="left"/>
              <w:rPr>
                <w:iCs/>
                <w:sz w:val="22"/>
              </w:rPr>
            </w:pPr>
            <w:r>
              <w:rPr>
                <w:iCs/>
                <w:sz w:val="22"/>
              </w:rPr>
              <w:t xml:space="preserve">Consistency </w:t>
            </w:r>
            <w:r w:rsidR="003C6747">
              <w:rPr>
                <w:iCs/>
                <w:sz w:val="22"/>
              </w:rPr>
              <w:t xml:space="preserve">and continuity of leadership has </w:t>
            </w:r>
            <w:r w:rsidR="009F6D13">
              <w:rPr>
                <w:iCs/>
                <w:sz w:val="22"/>
              </w:rPr>
              <w:t>led</w:t>
            </w:r>
            <w:r w:rsidR="003C6747">
              <w:rPr>
                <w:iCs/>
                <w:sz w:val="22"/>
              </w:rPr>
              <w:t xml:space="preserve"> to </w:t>
            </w:r>
            <w:r w:rsidR="00287D28">
              <w:rPr>
                <w:iCs/>
                <w:sz w:val="22"/>
              </w:rPr>
              <w:t xml:space="preserve">some inconsistencies in </w:t>
            </w:r>
            <w:r w:rsidR="00092F36">
              <w:rPr>
                <w:iCs/>
                <w:sz w:val="22"/>
              </w:rPr>
              <w:t>teaching practice</w:t>
            </w:r>
            <w:r w:rsidR="00503D92">
              <w:rPr>
                <w:iCs/>
                <w:sz w:val="22"/>
              </w:rPr>
              <w:t>.</w:t>
            </w:r>
            <w:r w:rsidR="00406352">
              <w:rPr>
                <w:iCs/>
                <w:sz w:val="22"/>
              </w:rPr>
              <w:t xml:space="preserve"> Since </w:t>
            </w:r>
            <w:r w:rsidR="00A475B9">
              <w:rPr>
                <w:iCs/>
                <w:sz w:val="22"/>
              </w:rPr>
              <w:t xml:space="preserve">2019, Westfield has had </w:t>
            </w:r>
            <w:r w:rsidR="00B31448">
              <w:rPr>
                <w:iCs/>
                <w:sz w:val="22"/>
              </w:rPr>
              <w:t>4</w:t>
            </w:r>
            <w:r w:rsidR="0040183A">
              <w:rPr>
                <w:iCs/>
                <w:sz w:val="22"/>
              </w:rPr>
              <w:t xml:space="preserve"> head teachers</w:t>
            </w:r>
            <w:r w:rsidR="005F7D72">
              <w:rPr>
                <w:iCs/>
                <w:sz w:val="22"/>
              </w:rPr>
              <w:t xml:space="preserve">, </w:t>
            </w:r>
            <w:r w:rsidR="008E7429">
              <w:rPr>
                <w:iCs/>
                <w:sz w:val="22"/>
              </w:rPr>
              <w:t xml:space="preserve">6 deputy head teachers and </w:t>
            </w:r>
            <w:r w:rsidR="0089197B">
              <w:rPr>
                <w:iCs/>
                <w:sz w:val="22"/>
              </w:rPr>
              <w:t>4</w:t>
            </w:r>
            <w:r w:rsidR="008E7429">
              <w:rPr>
                <w:iCs/>
                <w:sz w:val="22"/>
              </w:rPr>
              <w:t xml:space="preserve"> assistant head teachers.</w:t>
            </w:r>
            <w:r w:rsidR="00B05B83">
              <w:rPr>
                <w:iCs/>
                <w:sz w:val="22"/>
              </w:rPr>
              <w:t xml:space="preserve"> </w:t>
            </w:r>
            <w:r w:rsidR="004D3966">
              <w:rPr>
                <w:iCs/>
                <w:sz w:val="22"/>
              </w:rPr>
              <w:t xml:space="preserve">Current leadership team has been established for 18-months (Sept </w:t>
            </w:r>
            <w:r w:rsidR="005B4AA5">
              <w:rPr>
                <w:iCs/>
                <w:sz w:val="22"/>
              </w:rPr>
              <w:t>‘</w:t>
            </w:r>
            <w:r w:rsidR="004D3966">
              <w:rPr>
                <w:iCs/>
                <w:sz w:val="22"/>
              </w:rPr>
              <w:t>2</w:t>
            </w:r>
            <w:r w:rsidR="005B4AA5">
              <w:rPr>
                <w:iCs/>
                <w:sz w:val="22"/>
              </w:rPr>
              <w:t>5</w:t>
            </w:r>
            <w:r w:rsidR="004D3966">
              <w:rPr>
                <w:iCs/>
                <w:sz w:val="22"/>
              </w:rPr>
              <w:t>)</w:t>
            </w:r>
            <w:r w:rsidR="001D783B">
              <w:rPr>
                <w:iCs/>
                <w:sz w:val="22"/>
              </w:rPr>
              <w:t xml:space="preserve"> and has provided stability across the school</w:t>
            </w:r>
            <w:r w:rsidR="004D3966">
              <w:rPr>
                <w:iCs/>
                <w:sz w:val="22"/>
              </w:rPr>
              <w:t xml:space="preserve">. </w:t>
            </w:r>
            <w:r w:rsidR="00B05B83">
              <w:rPr>
                <w:iCs/>
                <w:sz w:val="22"/>
              </w:rPr>
              <w:t>T</w:t>
            </w:r>
            <w:r w:rsidR="004015ED">
              <w:rPr>
                <w:iCs/>
                <w:sz w:val="22"/>
              </w:rPr>
              <w:t xml:space="preserve">hese </w:t>
            </w:r>
            <w:r w:rsidR="002626A3">
              <w:rPr>
                <w:iCs/>
                <w:sz w:val="22"/>
              </w:rPr>
              <w:t>leadership changes have impacted on the</w:t>
            </w:r>
            <w:r w:rsidR="00990521">
              <w:rPr>
                <w:iCs/>
                <w:sz w:val="22"/>
              </w:rPr>
              <w:t xml:space="preserve"> </w:t>
            </w:r>
            <w:r w:rsidR="00AC59E6">
              <w:rPr>
                <w:iCs/>
                <w:sz w:val="22"/>
              </w:rPr>
              <w:t xml:space="preserve">continuity/implementation of </w:t>
            </w:r>
            <w:r w:rsidR="00990521">
              <w:rPr>
                <w:iCs/>
                <w:sz w:val="22"/>
              </w:rPr>
              <w:t>pedagogical approaches</w:t>
            </w:r>
            <w:r w:rsidR="002626A3">
              <w:rPr>
                <w:iCs/>
                <w:sz w:val="22"/>
              </w:rPr>
              <w:t xml:space="preserve"> expected</w:t>
            </w:r>
            <w:r w:rsidR="008E1BC7">
              <w:rPr>
                <w:iCs/>
                <w:sz w:val="22"/>
              </w:rPr>
              <w:t xml:space="preserve"> in classrooms</w:t>
            </w:r>
            <w:r w:rsidR="00AC59E6">
              <w:rPr>
                <w:iCs/>
                <w:sz w:val="22"/>
              </w:rPr>
              <w:t xml:space="preserve"> thus impacting on pupil progress. </w:t>
            </w:r>
            <w:r w:rsidR="00F04B1B">
              <w:rPr>
                <w:iCs/>
                <w:sz w:val="22"/>
              </w:rPr>
              <w:t>KS2 outcome</w:t>
            </w:r>
            <w:r w:rsidR="00C96D0D">
              <w:rPr>
                <w:iCs/>
                <w:sz w:val="22"/>
              </w:rPr>
              <w:t>s for disadvantaged pupils have been increasing</w:t>
            </w:r>
            <w:r w:rsidR="00442F70">
              <w:rPr>
                <w:iCs/>
                <w:sz w:val="22"/>
              </w:rPr>
              <w:t xml:space="preserve"> </w:t>
            </w:r>
            <w:r w:rsidR="003F25B5">
              <w:rPr>
                <w:iCs/>
                <w:sz w:val="22"/>
              </w:rPr>
              <w:t xml:space="preserve">steadily </w:t>
            </w:r>
            <w:r w:rsidR="00442F70">
              <w:rPr>
                <w:iCs/>
                <w:sz w:val="22"/>
              </w:rPr>
              <w:t xml:space="preserve">since 2019 from 37.5% EXS combined to 56.3% </w:t>
            </w:r>
            <w:r w:rsidR="003F25B5">
              <w:rPr>
                <w:iCs/>
                <w:sz w:val="22"/>
              </w:rPr>
              <w:t>EXS combined 2024.</w:t>
            </w:r>
            <w:r w:rsidR="00300188">
              <w:rPr>
                <w:iCs/>
                <w:sz w:val="22"/>
              </w:rPr>
              <w:t xml:space="preserve"> 2025 outcomes saw a decline to 39% EXS combined.</w:t>
            </w:r>
            <w:r w:rsidR="00BF594E">
              <w:rPr>
                <w:iCs/>
                <w:sz w:val="22"/>
              </w:rPr>
              <w:t xml:space="preserve"> </w:t>
            </w:r>
          </w:p>
        </w:tc>
      </w:tr>
    </w:tbl>
    <w:p w14:paraId="2A7D54FF" w14:textId="67EABFBA"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2AB1955" w:rsidR="00E66558" w:rsidRDefault="0006570D" w:rsidP="00C31636">
            <w:pPr>
              <w:pStyle w:val="TableRow"/>
              <w:ind w:left="0" w:right="0"/>
            </w:pPr>
            <w:r w:rsidRPr="001172CB">
              <w:rPr>
                <w:sz w:val="22"/>
                <w:szCs w:val="22"/>
              </w:rPr>
              <w:t>The consistency of high</w:t>
            </w:r>
            <w:r w:rsidR="004B6DDC" w:rsidRPr="001172CB">
              <w:rPr>
                <w:sz w:val="22"/>
                <w:szCs w:val="22"/>
              </w:rPr>
              <w:t>-</w:t>
            </w:r>
            <w:r w:rsidRPr="001172CB">
              <w:rPr>
                <w:sz w:val="22"/>
                <w:szCs w:val="22"/>
              </w:rPr>
              <w:t xml:space="preserve">quality teaching improves </w:t>
            </w:r>
            <w:r w:rsidR="00CB16DC" w:rsidRPr="001172CB">
              <w:rPr>
                <w:sz w:val="22"/>
                <w:szCs w:val="22"/>
              </w:rPr>
              <w:t>which directly impacts on the outcomes of disadvantaged pupils</w:t>
            </w:r>
            <w:r w:rsidR="00CC52EB" w:rsidRPr="001172CB">
              <w:rPr>
                <w:sz w:val="22"/>
                <w:szCs w:val="22"/>
              </w:rPr>
              <w:t xml:space="preserve"> especially in Reading</w:t>
            </w:r>
            <w:r w:rsidR="00CB16DC" w:rsidRPr="001172CB">
              <w:rPr>
                <w:sz w:val="22"/>
                <w:szCs w:val="22"/>
              </w:rPr>
              <w:t>.</w:t>
            </w:r>
            <w:r w:rsidR="00AA4E91" w:rsidRPr="001172CB">
              <w:rPr>
                <w:sz w:val="22"/>
                <w:szCs w:val="22"/>
              </w:rPr>
              <w:t xml:space="preserve"> Our teaching p</w:t>
            </w:r>
            <w:r w:rsidR="001172CB" w:rsidRPr="001172CB">
              <w:rPr>
                <w:sz w:val="22"/>
                <w:szCs w:val="22"/>
              </w:rPr>
              <w:t>urposely provides</w:t>
            </w:r>
            <w:r w:rsidR="00AA4E91" w:rsidRPr="001172CB">
              <w:rPr>
                <w:sz w:val="22"/>
                <w:szCs w:val="22"/>
              </w:rPr>
              <w:t xml:space="preserve"> </w:t>
            </w:r>
            <w:r w:rsidR="00887754" w:rsidRPr="001172CB">
              <w:rPr>
                <w:sz w:val="22"/>
                <w:szCs w:val="22"/>
              </w:rPr>
              <w:t xml:space="preserve">opportunities for pupils to </w:t>
            </w:r>
            <w:r w:rsidR="00A40157" w:rsidRPr="001172CB">
              <w:rPr>
                <w:sz w:val="22"/>
                <w:szCs w:val="22"/>
              </w:rPr>
              <w:t xml:space="preserve">develop their oracy skills, reading fluency and vocabulary development </w:t>
            </w:r>
            <w:r w:rsidR="001172CB" w:rsidRPr="001172CB">
              <w:rPr>
                <w:sz w:val="22"/>
                <w:szCs w:val="22"/>
              </w:rPr>
              <w:t xml:space="preserve">in core and wider subjects. </w:t>
            </w:r>
            <w:r w:rsidR="00EC1581">
              <w:rPr>
                <w:sz w:val="22"/>
                <w:szCs w:val="22"/>
              </w:rPr>
              <w:t xml:space="preserve">Teachers and LSAs are supported to </w:t>
            </w:r>
            <w:r w:rsidR="005A1641">
              <w:rPr>
                <w:sz w:val="22"/>
                <w:szCs w:val="22"/>
              </w:rPr>
              <w:t xml:space="preserve">implement strategies to improve </w:t>
            </w:r>
            <w:r w:rsidR="00914C4B">
              <w:rPr>
                <w:sz w:val="22"/>
                <w:szCs w:val="22"/>
              </w:rPr>
              <w:t>teaching practices</w:t>
            </w:r>
            <w:r w:rsidR="008178F9">
              <w:rPr>
                <w:sz w:val="22"/>
                <w:szCs w:val="22"/>
              </w:rPr>
              <w:t xml:space="preserve"> – all staff engage in regular coaching. </w:t>
            </w:r>
            <w:r w:rsidR="00914C4B">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04A3" w14:textId="2A4EC559" w:rsidR="00695021" w:rsidRDefault="00695021" w:rsidP="00695021">
            <w:pPr>
              <w:pStyle w:val="TableRowCentered"/>
              <w:numPr>
                <w:ilvl w:val="0"/>
                <w:numId w:val="18"/>
              </w:numPr>
              <w:ind w:right="0"/>
              <w:jc w:val="left"/>
              <w:rPr>
                <w:sz w:val="22"/>
                <w:szCs w:val="22"/>
              </w:rPr>
            </w:pPr>
            <w:r>
              <w:rPr>
                <w:sz w:val="22"/>
                <w:szCs w:val="22"/>
              </w:rPr>
              <w:t xml:space="preserve">20% increase in reading speeds for all disadvantaged pupils by </w:t>
            </w:r>
            <w:r w:rsidR="00193880">
              <w:rPr>
                <w:sz w:val="22"/>
                <w:szCs w:val="22"/>
              </w:rPr>
              <w:t xml:space="preserve">July 2026, </w:t>
            </w:r>
          </w:p>
          <w:p w14:paraId="469D8977" w14:textId="77777777" w:rsidR="000D3739" w:rsidRDefault="00193880" w:rsidP="00695021">
            <w:pPr>
              <w:pStyle w:val="TableRowCentered"/>
              <w:numPr>
                <w:ilvl w:val="0"/>
                <w:numId w:val="18"/>
              </w:numPr>
              <w:ind w:right="0"/>
              <w:jc w:val="left"/>
              <w:rPr>
                <w:sz w:val="22"/>
                <w:szCs w:val="22"/>
              </w:rPr>
            </w:pPr>
            <w:r>
              <w:rPr>
                <w:sz w:val="22"/>
                <w:szCs w:val="22"/>
              </w:rPr>
              <w:t xml:space="preserve">Lesson observations/dips by leaders/external trust members </w:t>
            </w:r>
            <w:r w:rsidR="00F639EC">
              <w:rPr>
                <w:sz w:val="22"/>
                <w:szCs w:val="22"/>
              </w:rPr>
              <w:t xml:space="preserve">reflect </w:t>
            </w:r>
            <w:r w:rsidR="00DF54EE">
              <w:rPr>
                <w:sz w:val="22"/>
                <w:szCs w:val="22"/>
              </w:rPr>
              <w:t xml:space="preserve">high quality teaching (see pedagogy </w:t>
            </w:r>
            <w:r w:rsidR="000D3739">
              <w:rPr>
                <w:sz w:val="22"/>
                <w:szCs w:val="22"/>
              </w:rPr>
              <w:t xml:space="preserve">framework), </w:t>
            </w:r>
          </w:p>
          <w:p w14:paraId="023DF126" w14:textId="77777777" w:rsidR="00B93B0E" w:rsidRDefault="00932BAE" w:rsidP="00695021">
            <w:pPr>
              <w:pStyle w:val="TableRowCentered"/>
              <w:numPr>
                <w:ilvl w:val="0"/>
                <w:numId w:val="18"/>
              </w:numPr>
              <w:ind w:right="0"/>
              <w:jc w:val="left"/>
              <w:rPr>
                <w:sz w:val="22"/>
                <w:szCs w:val="22"/>
              </w:rPr>
            </w:pPr>
            <w:r>
              <w:rPr>
                <w:sz w:val="22"/>
                <w:szCs w:val="22"/>
              </w:rPr>
              <w:t>Staff surveys show an 1</w:t>
            </w:r>
            <w:r w:rsidR="004C15AB">
              <w:rPr>
                <w:sz w:val="22"/>
                <w:szCs w:val="22"/>
              </w:rPr>
              <w:t xml:space="preserve">0-15% increase in </w:t>
            </w:r>
            <w:r w:rsidR="00B93B0E">
              <w:rPr>
                <w:sz w:val="22"/>
                <w:szCs w:val="22"/>
              </w:rPr>
              <w:t xml:space="preserve">CPD supporting teaching and the focus on improving outcomes, </w:t>
            </w:r>
          </w:p>
          <w:p w14:paraId="05E9A649" w14:textId="77777777" w:rsidR="00563893" w:rsidRDefault="00B93B0E" w:rsidP="00695021">
            <w:pPr>
              <w:pStyle w:val="TableRowCentered"/>
              <w:numPr>
                <w:ilvl w:val="0"/>
                <w:numId w:val="18"/>
              </w:numPr>
              <w:ind w:right="0"/>
              <w:jc w:val="left"/>
              <w:rPr>
                <w:sz w:val="22"/>
                <w:szCs w:val="22"/>
              </w:rPr>
            </w:pPr>
            <w:r>
              <w:rPr>
                <w:sz w:val="22"/>
                <w:szCs w:val="22"/>
              </w:rPr>
              <w:t xml:space="preserve">Internal data shows that </w:t>
            </w:r>
            <w:r w:rsidR="00563893">
              <w:rPr>
                <w:sz w:val="22"/>
                <w:szCs w:val="22"/>
              </w:rPr>
              <w:t xml:space="preserve">coaching for Teachers and LSAs/HLTAs is effective and staff feel more confident in their teaching, </w:t>
            </w:r>
          </w:p>
          <w:p w14:paraId="681CC683" w14:textId="77777777" w:rsidR="00E66558" w:rsidRDefault="00563893" w:rsidP="00745B49">
            <w:pPr>
              <w:pStyle w:val="TableRowCentered"/>
              <w:numPr>
                <w:ilvl w:val="0"/>
                <w:numId w:val="18"/>
              </w:numPr>
              <w:ind w:right="0"/>
              <w:jc w:val="left"/>
              <w:rPr>
                <w:sz w:val="22"/>
                <w:szCs w:val="22"/>
              </w:rPr>
            </w:pPr>
            <w:r>
              <w:rPr>
                <w:sz w:val="22"/>
                <w:szCs w:val="22"/>
              </w:rPr>
              <w:t xml:space="preserve">KS2 outcomes increase </w:t>
            </w:r>
            <w:r w:rsidR="002B2FE2">
              <w:rPr>
                <w:sz w:val="22"/>
                <w:szCs w:val="22"/>
              </w:rPr>
              <w:t xml:space="preserve">by </w:t>
            </w:r>
            <w:r w:rsidR="00745B49">
              <w:rPr>
                <w:sz w:val="22"/>
                <w:szCs w:val="22"/>
              </w:rPr>
              <w:t xml:space="preserve">5% overall and disadvantaged pupils are within 10% of their peers for EXS combined, </w:t>
            </w:r>
            <w:r w:rsidR="00F639EC">
              <w:rPr>
                <w:sz w:val="22"/>
                <w:szCs w:val="22"/>
              </w:rPr>
              <w:t xml:space="preserve"> </w:t>
            </w:r>
          </w:p>
          <w:p w14:paraId="3CDE4DAD" w14:textId="77777777" w:rsidR="0058194F" w:rsidRDefault="00745B49" w:rsidP="0058194F">
            <w:pPr>
              <w:pStyle w:val="TableRowCentered"/>
              <w:numPr>
                <w:ilvl w:val="0"/>
                <w:numId w:val="18"/>
              </w:numPr>
              <w:ind w:right="0"/>
              <w:jc w:val="left"/>
              <w:rPr>
                <w:sz w:val="22"/>
                <w:szCs w:val="22"/>
              </w:rPr>
            </w:pPr>
            <w:r>
              <w:rPr>
                <w:sz w:val="22"/>
                <w:szCs w:val="22"/>
              </w:rPr>
              <w:t xml:space="preserve">Phonics outcomes at Year 1 are 100% for </w:t>
            </w:r>
            <w:r w:rsidR="0058194F">
              <w:rPr>
                <w:sz w:val="22"/>
                <w:szCs w:val="22"/>
              </w:rPr>
              <w:t xml:space="preserve">all pupils with 90% of disadvantaged pupils ‘passing’ the PSC, </w:t>
            </w:r>
          </w:p>
          <w:p w14:paraId="2A7D5505" w14:textId="2F5930D3" w:rsidR="0058194F" w:rsidRPr="0058194F" w:rsidRDefault="00F2565C" w:rsidP="0058194F">
            <w:pPr>
              <w:pStyle w:val="TableRowCentered"/>
              <w:numPr>
                <w:ilvl w:val="0"/>
                <w:numId w:val="18"/>
              </w:numPr>
              <w:ind w:right="0"/>
              <w:jc w:val="left"/>
              <w:rPr>
                <w:sz w:val="22"/>
                <w:szCs w:val="22"/>
              </w:rPr>
            </w:pPr>
            <w:r>
              <w:rPr>
                <w:sz w:val="22"/>
                <w:szCs w:val="22"/>
              </w:rPr>
              <w:t xml:space="preserve">ELGs outcomes for disadvantaged pupils are within 10% of their peers non-disadvantaged pupils.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A93F123" w:rsidR="00E66558" w:rsidRDefault="00CB16DC" w:rsidP="00C31636">
            <w:pPr>
              <w:pStyle w:val="TableRow"/>
              <w:ind w:left="0" w:right="0"/>
              <w:rPr>
                <w:sz w:val="22"/>
                <w:szCs w:val="22"/>
              </w:rPr>
            </w:pPr>
            <w:r>
              <w:rPr>
                <w:sz w:val="22"/>
                <w:szCs w:val="22"/>
              </w:rPr>
              <w:t xml:space="preserve">Adults in school are trained to </w:t>
            </w:r>
            <w:r w:rsidR="00C10703">
              <w:rPr>
                <w:sz w:val="22"/>
                <w:szCs w:val="22"/>
              </w:rPr>
              <w:t>understand trauma informed practice and that relationships are built on strong foundations</w:t>
            </w:r>
            <w:r w:rsidR="00FC7A20">
              <w:rPr>
                <w:sz w:val="22"/>
                <w:szCs w:val="22"/>
              </w:rPr>
              <w:t xml:space="preserve"> to foster a secure sense of belonging.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AF67" w14:textId="3C0DEA65" w:rsidR="008256A3" w:rsidRDefault="006C5BCF" w:rsidP="008256A3">
            <w:pPr>
              <w:pStyle w:val="TableRowCentered"/>
              <w:numPr>
                <w:ilvl w:val="0"/>
                <w:numId w:val="19"/>
              </w:numPr>
              <w:ind w:right="0"/>
              <w:jc w:val="left"/>
              <w:rPr>
                <w:sz w:val="22"/>
                <w:szCs w:val="22"/>
              </w:rPr>
            </w:pPr>
            <w:r>
              <w:rPr>
                <w:sz w:val="22"/>
                <w:szCs w:val="22"/>
              </w:rPr>
              <w:t xml:space="preserve">Percentage </w:t>
            </w:r>
            <w:r w:rsidR="007A399C">
              <w:rPr>
                <w:sz w:val="22"/>
                <w:szCs w:val="22"/>
              </w:rPr>
              <w:t xml:space="preserve">absence for </w:t>
            </w:r>
            <w:r w:rsidR="00710773">
              <w:rPr>
                <w:sz w:val="22"/>
                <w:szCs w:val="22"/>
              </w:rPr>
              <w:t xml:space="preserve">disadvantaged pupils decreases overall </w:t>
            </w:r>
            <w:r w:rsidR="002D1CAE">
              <w:rPr>
                <w:sz w:val="22"/>
                <w:szCs w:val="22"/>
              </w:rPr>
              <w:t xml:space="preserve">with 80% of pupils attending 90% of the time, </w:t>
            </w:r>
          </w:p>
          <w:p w14:paraId="1C6E4F95" w14:textId="0B33876B" w:rsidR="002D1CAE" w:rsidRDefault="00234166" w:rsidP="008256A3">
            <w:pPr>
              <w:pStyle w:val="TableRowCentered"/>
              <w:numPr>
                <w:ilvl w:val="0"/>
                <w:numId w:val="19"/>
              </w:numPr>
              <w:ind w:right="0"/>
              <w:jc w:val="left"/>
              <w:rPr>
                <w:sz w:val="22"/>
                <w:szCs w:val="22"/>
              </w:rPr>
            </w:pPr>
            <w:r>
              <w:rPr>
                <w:sz w:val="22"/>
                <w:szCs w:val="22"/>
              </w:rPr>
              <w:t xml:space="preserve">Survey results </w:t>
            </w:r>
            <w:r w:rsidR="00680574">
              <w:rPr>
                <w:sz w:val="22"/>
                <w:szCs w:val="22"/>
              </w:rPr>
              <w:t xml:space="preserve">for PSSM shows increase of 15-20% of pupils </w:t>
            </w:r>
            <w:r w:rsidR="00A531E7">
              <w:rPr>
                <w:sz w:val="22"/>
                <w:szCs w:val="22"/>
              </w:rPr>
              <w:t xml:space="preserve">agreeing that they feel that they belong, </w:t>
            </w:r>
          </w:p>
          <w:p w14:paraId="47BAB131" w14:textId="2A113A4E" w:rsidR="00A531E7" w:rsidRDefault="00A531E7" w:rsidP="008256A3">
            <w:pPr>
              <w:pStyle w:val="TableRowCentered"/>
              <w:numPr>
                <w:ilvl w:val="0"/>
                <w:numId w:val="19"/>
              </w:numPr>
              <w:ind w:right="0"/>
              <w:jc w:val="left"/>
              <w:rPr>
                <w:sz w:val="22"/>
                <w:szCs w:val="22"/>
              </w:rPr>
            </w:pPr>
            <w:r>
              <w:rPr>
                <w:sz w:val="22"/>
                <w:szCs w:val="22"/>
              </w:rPr>
              <w:t>TPP is implemented and all staff attending training</w:t>
            </w:r>
            <w:r w:rsidR="009A45D4">
              <w:rPr>
                <w:sz w:val="22"/>
                <w:szCs w:val="22"/>
              </w:rPr>
              <w:t xml:space="preserve"> – survey results show a better understanding of pupil behaviour, </w:t>
            </w:r>
          </w:p>
          <w:p w14:paraId="2A7D5508" w14:textId="02D58C77" w:rsidR="00E66558" w:rsidRPr="00434D96" w:rsidRDefault="009A45D4" w:rsidP="00434D96">
            <w:pPr>
              <w:pStyle w:val="TableRowCentered"/>
              <w:numPr>
                <w:ilvl w:val="0"/>
                <w:numId w:val="19"/>
              </w:numPr>
              <w:ind w:right="0"/>
              <w:jc w:val="left"/>
              <w:rPr>
                <w:sz w:val="22"/>
                <w:szCs w:val="22"/>
              </w:rPr>
            </w:pPr>
            <w:r>
              <w:rPr>
                <w:sz w:val="22"/>
                <w:szCs w:val="22"/>
              </w:rPr>
              <w:t xml:space="preserve">Dysregulation events occur less often, but when they do, </w:t>
            </w:r>
            <w:r w:rsidR="00434D96">
              <w:rPr>
                <w:sz w:val="22"/>
                <w:szCs w:val="22"/>
              </w:rPr>
              <w:t>de-escalation</w:t>
            </w:r>
            <w:r>
              <w:rPr>
                <w:sz w:val="22"/>
                <w:szCs w:val="22"/>
              </w:rPr>
              <w:t xml:space="preserve"> techniques are effective and bespoke to </w:t>
            </w:r>
            <w:r w:rsidR="00434D96">
              <w:rPr>
                <w:sz w:val="22"/>
                <w:szCs w:val="22"/>
              </w:rPr>
              <w:t xml:space="preserve">each child.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449CA9C" w:rsidR="00E66558" w:rsidRDefault="00FC7A20" w:rsidP="00C31636">
            <w:pPr>
              <w:pStyle w:val="TableRow"/>
              <w:ind w:left="0" w:right="0"/>
              <w:rPr>
                <w:sz w:val="22"/>
                <w:szCs w:val="22"/>
              </w:rPr>
            </w:pPr>
            <w:r>
              <w:rPr>
                <w:sz w:val="22"/>
                <w:szCs w:val="22"/>
              </w:rPr>
              <w:t xml:space="preserve">Disadvantaged pupils are given opportunities to engage in </w:t>
            </w:r>
            <w:r w:rsidR="00FF6457">
              <w:rPr>
                <w:sz w:val="22"/>
                <w:szCs w:val="22"/>
              </w:rPr>
              <w:t>activities</w:t>
            </w:r>
            <w:r w:rsidR="00820698">
              <w:rPr>
                <w:sz w:val="22"/>
                <w:szCs w:val="22"/>
              </w:rPr>
              <w:t xml:space="preserve"> outside of the curriculum to enrich their school </w:t>
            </w:r>
            <w:r w:rsidR="00FF6457">
              <w:rPr>
                <w:sz w:val="22"/>
                <w:szCs w:val="22"/>
              </w:rPr>
              <w:t xml:space="preserve">journey.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7195" w14:textId="03C3B425" w:rsidR="00502217" w:rsidRDefault="00502217" w:rsidP="00502217">
            <w:pPr>
              <w:pStyle w:val="TableRowCentered"/>
              <w:numPr>
                <w:ilvl w:val="0"/>
                <w:numId w:val="20"/>
              </w:numPr>
              <w:ind w:right="0"/>
              <w:jc w:val="left"/>
              <w:rPr>
                <w:sz w:val="22"/>
                <w:szCs w:val="22"/>
              </w:rPr>
            </w:pPr>
            <w:r>
              <w:rPr>
                <w:sz w:val="22"/>
                <w:szCs w:val="22"/>
              </w:rPr>
              <w:t>Programme of enrichment is implemented</w:t>
            </w:r>
            <w:r w:rsidR="007A4313">
              <w:rPr>
                <w:sz w:val="22"/>
                <w:szCs w:val="22"/>
              </w:rPr>
              <w:t xml:space="preserve"> for all pupils, </w:t>
            </w:r>
          </w:p>
          <w:p w14:paraId="6B441893" w14:textId="0C825BC1" w:rsidR="007A4313" w:rsidRDefault="007A4313" w:rsidP="007A4313">
            <w:pPr>
              <w:pStyle w:val="TableRowCentered"/>
              <w:numPr>
                <w:ilvl w:val="0"/>
                <w:numId w:val="20"/>
              </w:numPr>
              <w:ind w:right="0"/>
              <w:jc w:val="left"/>
              <w:rPr>
                <w:sz w:val="22"/>
                <w:szCs w:val="22"/>
              </w:rPr>
            </w:pPr>
            <w:r>
              <w:rPr>
                <w:sz w:val="22"/>
                <w:szCs w:val="22"/>
              </w:rPr>
              <w:t xml:space="preserve">100% of disadvantaged pupils attend an enrichment session/after school club, </w:t>
            </w:r>
          </w:p>
          <w:p w14:paraId="1C533DCC" w14:textId="3028B4F9" w:rsidR="007A4313" w:rsidRDefault="007A4313" w:rsidP="007A4313">
            <w:pPr>
              <w:pStyle w:val="TableRowCentered"/>
              <w:numPr>
                <w:ilvl w:val="0"/>
                <w:numId w:val="20"/>
              </w:numPr>
              <w:ind w:right="0"/>
              <w:jc w:val="left"/>
              <w:rPr>
                <w:sz w:val="22"/>
                <w:szCs w:val="22"/>
              </w:rPr>
            </w:pPr>
            <w:r>
              <w:rPr>
                <w:sz w:val="22"/>
                <w:szCs w:val="22"/>
              </w:rPr>
              <w:t xml:space="preserve">Pupil survey results show an increase in </w:t>
            </w:r>
            <w:r w:rsidR="003F2E97">
              <w:rPr>
                <w:sz w:val="22"/>
                <w:szCs w:val="22"/>
              </w:rPr>
              <w:t>pupils enjoying extra-</w:t>
            </w:r>
            <w:proofErr w:type="spellStart"/>
            <w:r w:rsidR="003F2E97">
              <w:rPr>
                <w:sz w:val="22"/>
                <w:szCs w:val="22"/>
              </w:rPr>
              <w:t>curricula</w:t>
            </w:r>
            <w:proofErr w:type="spellEnd"/>
            <w:r w:rsidR="003F2E97">
              <w:rPr>
                <w:sz w:val="22"/>
                <w:szCs w:val="22"/>
              </w:rPr>
              <w:t xml:space="preserve"> activities, </w:t>
            </w:r>
          </w:p>
          <w:p w14:paraId="13AC7638" w14:textId="523FB47C" w:rsidR="003F2E97" w:rsidRDefault="00276520" w:rsidP="007A4313">
            <w:pPr>
              <w:pStyle w:val="TableRowCentered"/>
              <w:numPr>
                <w:ilvl w:val="0"/>
                <w:numId w:val="20"/>
              </w:numPr>
              <w:ind w:right="0"/>
              <w:jc w:val="left"/>
              <w:rPr>
                <w:sz w:val="22"/>
                <w:szCs w:val="22"/>
              </w:rPr>
            </w:pPr>
            <w:r>
              <w:rPr>
                <w:sz w:val="22"/>
                <w:szCs w:val="22"/>
              </w:rPr>
              <w:t>There is a range of different clubs and activities for pupils to engage</w:t>
            </w:r>
            <w:r w:rsidR="00D031DF">
              <w:rPr>
                <w:sz w:val="22"/>
                <w:szCs w:val="22"/>
              </w:rPr>
              <w:t xml:space="preserve">, </w:t>
            </w:r>
          </w:p>
          <w:p w14:paraId="2A7D550B" w14:textId="3954CE34" w:rsidR="00E66558" w:rsidRPr="00E951D6" w:rsidRDefault="00D031DF" w:rsidP="00E951D6">
            <w:pPr>
              <w:pStyle w:val="TableRowCentered"/>
              <w:numPr>
                <w:ilvl w:val="0"/>
                <w:numId w:val="20"/>
              </w:numPr>
              <w:ind w:right="0"/>
              <w:jc w:val="left"/>
              <w:rPr>
                <w:sz w:val="22"/>
                <w:szCs w:val="22"/>
              </w:rPr>
            </w:pPr>
            <w:r>
              <w:rPr>
                <w:sz w:val="22"/>
                <w:szCs w:val="22"/>
              </w:rPr>
              <w:lastRenderedPageBreak/>
              <w:t>Educational trips are planned and 100% of disadvantaged pupils attend these trips as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5756BFD" w:rsidR="00E66558" w:rsidRDefault="004B6DDC" w:rsidP="00C31636">
            <w:pPr>
              <w:pStyle w:val="TableRow"/>
              <w:ind w:left="0" w:right="0"/>
              <w:rPr>
                <w:sz w:val="22"/>
                <w:szCs w:val="22"/>
              </w:rPr>
            </w:pPr>
            <w:r>
              <w:rPr>
                <w:sz w:val="22"/>
                <w:szCs w:val="22"/>
              </w:rPr>
              <w:lastRenderedPageBreak/>
              <w:t xml:space="preserve">Adults understand the diversity of the school community and </w:t>
            </w:r>
            <w:r w:rsidR="003F0D0F">
              <w:rPr>
                <w:sz w:val="22"/>
                <w:szCs w:val="22"/>
              </w:rPr>
              <w:t xml:space="preserve">work to develop the strengths within our control.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4167" w14:textId="15A3ABD8" w:rsidR="00E951D6" w:rsidRDefault="00E951D6" w:rsidP="00E951D6">
            <w:pPr>
              <w:pStyle w:val="TableRowCentered"/>
              <w:numPr>
                <w:ilvl w:val="0"/>
                <w:numId w:val="21"/>
              </w:numPr>
              <w:ind w:right="0"/>
              <w:jc w:val="left"/>
              <w:rPr>
                <w:sz w:val="22"/>
                <w:szCs w:val="22"/>
              </w:rPr>
            </w:pPr>
            <w:r>
              <w:rPr>
                <w:sz w:val="22"/>
                <w:szCs w:val="22"/>
              </w:rPr>
              <w:t>Staff PDM</w:t>
            </w:r>
            <w:r w:rsidR="00C00EAE">
              <w:rPr>
                <w:sz w:val="22"/>
                <w:szCs w:val="22"/>
              </w:rPr>
              <w:t xml:space="preserve">s </w:t>
            </w:r>
            <w:r w:rsidR="003F29E5">
              <w:rPr>
                <w:sz w:val="22"/>
                <w:szCs w:val="22"/>
              </w:rPr>
              <w:t xml:space="preserve">address the changing needs/dynamics of the community and staff feel confident to cater for these, </w:t>
            </w:r>
          </w:p>
          <w:p w14:paraId="11D990F8" w14:textId="4FB4F8D4" w:rsidR="003F29E5" w:rsidRDefault="003F29E5" w:rsidP="00E951D6">
            <w:pPr>
              <w:pStyle w:val="TableRowCentered"/>
              <w:numPr>
                <w:ilvl w:val="0"/>
                <w:numId w:val="21"/>
              </w:numPr>
              <w:ind w:right="0"/>
              <w:jc w:val="left"/>
              <w:rPr>
                <w:sz w:val="22"/>
                <w:szCs w:val="22"/>
              </w:rPr>
            </w:pPr>
            <w:r>
              <w:rPr>
                <w:sz w:val="22"/>
                <w:szCs w:val="22"/>
              </w:rPr>
              <w:t>Staff members understand the</w:t>
            </w:r>
            <w:r w:rsidR="006C73BC">
              <w:rPr>
                <w:sz w:val="22"/>
                <w:szCs w:val="22"/>
              </w:rPr>
              <w:t xml:space="preserve">ir pupils and know what support certain pupils need, </w:t>
            </w:r>
          </w:p>
          <w:p w14:paraId="51116C39" w14:textId="71367D5D" w:rsidR="006C73BC" w:rsidRDefault="006C73BC" w:rsidP="00E951D6">
            <w:pPr>
              <w:pStyle w:val="TableRowCentered"/>
              <w:numPr>
                <w:ilvl w:val="0"/>
                <w:numId w:val="21"/>
              </w:numPr>
              <w:ind w:right="0"/>
              <w:jc w:val="left"/>
              <w:rPr>
                <w:sz w:val="22"/>
                <w:szCs w:val="22"/>
              </w:rPr>
            </w:pPr>
            <w:r>
              <w:rPr>
                <w:sz w:val="22"/>
                <w:szCs w:val="22"/>
              </w:rPr>
              <w:t xml:space="preserve">Internal staff survey results show that they feel more confident to support the pupils they work with and </w:t>
            </w:r>
            <w:r w:rsidR="00FA2E3F">
              <w:rPr>
                <w:sz w:val="22"/>
                <w:szCs w:val="22"/>
              </w:rPr>
              <w:t>know how to support them,</w:t>
            </w:r>
          </w:p>
          <w:p w14:paraId="54363747" w14:textId="0AF94447" w:rsidR="00FA2E3F" w:rsidRDefault="00FA2E3F" w:rsidP="00E951D6">
            <w:pPr>
              <w:pStyle w:val="TableRowCentered"/>
              <w:numPr>
                <w:ilvl w:val="0"/>
                <w:numId w:val="21"/>
              </w:numPr>
              <w:ind w:right="0"/>
              <w:jc w:val="left"/>
              <w:rPr>
                <w:sz w:val="22"/>
                <w:szCs w:val="22"/>
              </w:rPr>
            </w:pPr>
            <w:r>
              <w:rPr>
                <w:sz w:val="22"/>
                <w:szCs w:val="22"/>
              </w:rPr>
              <w:t xml:space="preserve">Those with SEN, have learning adapted to meet their needs, attend regular intervention to address gaps and engaging in high-quality learning. </w:t>
            </w:r>
          </w:p>
          <w:p w14:paraId="2A7D550E" w14:textId="17BD08B9" w:rsidR="00E66558" w:rsidRDefault="00E66558" w:rsidP="00C31636">
            <w:pPr>
              <w:pStyle w:val="TableRowCentered"/>
              <w:ind w:left="0" w:right="0"/>
              <w:jc w:val="left"/>
              <w:rPr>
                <w:sz w:val="22"/>
                <w:szCs w:val="22"/>
              </w:rPr>
            </w:pPr>
          </w:p>
        </w:tc>
      </w:tr>
    </w:tbl>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DB17594" w:rsidR="00E66558" w:rsidRDefault="009D71E8">
      <w:r>
        <w:t>Budgeted cost: £</w:t>
      </w:r>
      <w:r w:rsidR="004412CE">
        <w:t>45,</w:t>
      </w:r>
      <w:r w:rsidR="00FA3430">
        <w:t>750</w:t>
      </w:r>
    </w:p>
    <w:tbl>
      <w:tblPr>
        <w:tblW w:w="5000" w:type="pct"/>
        <w:tblCellMar>
          <w:left w:w="10" w:type="dxa"/>
          <w:right w:w="10" w:type="dxa"/>
        </w:tblCellMar>
        <w:tblLook w:val="04A0" w:firstRow="1" w:lastRow="0" w:firstColumn="1" w:lastColumn="0" w:noHBand="0" w:noVBand="1"/>
      </w:tblPr>
      <w:tblGrid>
        <w:gridCol w:w="1721"/>
        <w:gridCol w:w="5682"/>
        <w:gridCol w:w="2083"/>
      </w:tblGrid>
      <w:tr w:rsidR="00E66558" w14:paraId="2A7D5519" w14:textId="77777777" w:rsidTr="00464BE8">
        <w:tc>
          <w:tcPr>
            <w:tcW w:w="146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90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rsidRPr="00B735BD" w14:paraId="2A7D551D" w14:textId="77777777" w:rsidTr="00464BE8">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E88E" w14:textId="77777777" w:rsidR="00E66558" w:rsidRPr="00B735BD" w:rsidRDefault="00B40FC5" w:rsidP="00C31636">
            <w:pPr>
              <w:pStyle w:val="TableRow"/>
              <w:ind w:left="0" w:right="0"/>
              <w:rPr>
                <w:rFonts w:cs="Arial"/>
                <w:sz w:val="22"/>
                <w:szCs w:val="22"/>
              </w:rPr>
            </w:pPr>
            <w:r w:rsidRPr="00B735BD">
              <w:rPr>
                <w:rFonts w:cs="Arial"/>
                <w:sz w:val="22"/>
                <w:szCs w:val="22"/>
              </w:rPr>
              <w:t>Implementation of Unity Code</w:t>
            </w:r>
          </w:p>
          <w:p w14:paraId="2A7D551A" w14:textId="0C474D0F" w:rsidR="00B40FC5" w:rsidRPr="00B735BD" w:rsidRDefault="00B40FC5" w:rsidP="00C31636">
            <w:pPr>
              <w:pStyle w:val="TableRow"/>
              <w:ind w:left="0" w:right="0"/>
              <w:rPr>
                <w:rFonts w:cs="Arial"/>
                <w:sz w:val="22"/>
                <w:szCs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40BEB5D" w:rsidR="00624784" w:rsidRPr="00B735BD" w:rsidRDefault="00827EB4" w:rsidP="001C17D5">
            <w:pPr>
              <w:pStyle w:val="TableRowCentered"/>
              <w:ind w:left="0" w:right="0"/>
              <w:jc w:val="left"/>
              <w:rPr>
                <w:rFonts w:cs="Arial"/>
                <w:sz w:val="22"/>
                <w:szCs w:val="22"/>
              </w:rPr>
            </w:pPr>
            <w:r w:rsidRPr="00B735BD">
              <w:rPr>
                <w:rFonts w:cs="Arial"/>
                <w:color w:val="263238"/>
                <w:sz w:val="22"/>
                <w:szCs w:val="22"/>
                <w:shd w:val="clear" w:color="auto" w:fill="FFFFFF"/>
              </w:rPr>
              <w:t xml:space="preserve">“Ensuring every teacher is supported in delivering high-quality teaching is essential to achieving the best outcomes for all pupils, particularly the most disadvantaged among them.” – </w:t>
            </w:r>
            <w:hyperlink r:id="rId7" w:history="1">
              <w:r w:rsidRPr="001C17D5">
                <w:rPr>
                  <w:rStyle w:val="Hyperlink"/>
                  <w:rFonts w:cs="Arial"/>
                  <w:sz w:val="22"/>
                  <w:szCs w:val="22"/>
                  <w:shd w:val="clear" w:color="auto" w:fill="FFFFFF"/>
                </w:rPr>
                <w:t>EEF</w:t>
              </w:r>
              <w:r w:rsidR="001C17D5" w:rsidRPr="001C17D5">
                <w:rPr>
                  <w:rStyle w:val="Hyperlink"/>
                  <w:rFonts w:cs="Arial"/>
                  <w:sz w:val="22"/>
                  <w:szCs w:val="22"/>
                  <w:shd w:val="clear" w:color="auto" w:fill="FFFFFF"/>
                </w:rPr>
                <w:t xml:space="preserve"> – 2025</w:t>
              </w:r>
            </w:hyperlink>
            <w:r w:rsidR="001C17D5">
              <w:rPr>
                <w:rFonts w:cs="Arial"/>
                <w:color w:val="263238"/>
                <w:sz w:val="22"/>
                <w:szCs w:val="22"/>
                <w:shd w:val="clear" w:color="auto" w:fill="FFFFFF"/>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E068222" w:rsidR="00E66558" w:rsidRPr="00B735BD" w:rsidRDefault="000213A8" w:rsidP="00C31636">
            <w:pPr>
              <w:pStyle w:val="TableRowCentered"/>
              <w:ind w:left="0" w:right="0"/>
              <w:jc w:val="left"/>
              <w:rPr>
                <w:rFonts w:cs="Arial"/>
                <w:sz w:val="22"/>
                <w:szCs w:val="22"/>
              </w:rPr>
            </w:pPr>
            <w:r w:rsidRPr="00B735BD">
              <w:rPr>
                <w:rFonts w:cs="Arial"/>
                <w:sz w:val="22"/>
                <w:szCs w:val="22"/>
              </w:rPr>
              <w:t xml:space="preserve">1, 3, 5 </w:t>
            </w:r>
          </w:p>
        </w:tc>
      </w:tr>
      <w:tr w:rsidR="00E66558" w:rsidRPr="00B735BD" w14:paraId="2A7D5521" w14:textId="77777777" w:rsidTr="00464BE8">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EF1E9D9" w:rsidR="00E66558" w:rsidRPr="00B735BD" w:rsidRDefault="00B40FC5" w:rsidP="00C31636">
            <w:pPr>
              <w:pStyle w:val="TableRow"/>
              <w:ind w:left="0" w:right="0"/>
              <w:rPr>
                <w:rFonts w:cs="Arial"/>
                <w:sz w:val="22"/>
                <w:szCs w:val="22"/>
              </w:rPr>
            </w:pPr>
            <w:r w:rsidRPr="00B735BD">
              <w:rPr>
                <w:rFonts w:cs="Arial"/>
                <w:sz w:val="22"/>
                <w:szCs w:val="22"/>
              </w:rPr>
              <w:t xml:space="preserve">Teachers and LSAs/HLTAs coaching programme </w:t>
            </w: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52C85" w14:textId="4C3BEA0E" w:rsidR="00E66558" w:rsidRPr="00B735BD" w:rsidRDefault="00831FEE" w:rsidP="00C31636">
            <w:pPr>
              <w:pStyle w:val="TableRowCentered"/>
              <w:ind w:left="0" w:right="0"/>
              <w:jc w:val="left"/>
              <w:rPr>
                <w:rFonts w:cs="Arial"/>
                <w:color w:val="3A3A3A"/>
                <w:sz w:val="22"/>
                <w:szCs w:val="22"/>
                <w:shd w:val="clear" w:color="auto" w:fill="FFFFFF"/>
              </w:rPr>
            </w:pPr>
            <w:r w:rsidRPr="00B735BD">
              <w:rPr>
                <w:rFonts w:cs="Arial"/>
                <w:color w:val="3A3A3A"/>
                <w:sz w:val="22"/>
                <w:szCs w:val="22"/>
                <w:shd w:val="clear" w:color="auto" w:fill="FFFFFF"/>
              </w:rPr>
              <w:t xml:space="preserve">“Coaching is focused on breaking down teaching into a series of granular, achievable, ‘high-leverage practices” </w:t>
            </w:r>
            <w:r w:rsidR="001C17D5">
              <w:rPr>
                <w:rFonts w:cs="Arial"/>
                <w:color w:val="3A3A3A"/>
                <w:sz w:val="22"/>
                <w:szCs w:val="22"/>
                <w:shd w:val="clear" w:color="auto" w:fill="FFFFFF"/>
              </w:rPr>
              <w:t xml:space="preserve">- </w:t>
            </w:r>
            <w:hyperlink r:id="rId8" w:history="1">
              <w:r w:rsidRPr="001C17D5">
                <w:rPr>
                  <w:rStyle w:val="Hyperlink"/>
                  <w:rFonts w:cs="Arial"/>
                  <w:sz w:val="22"/>
                  <w:szCs w:val="22"/>
                  <w:shd w:val="clear" w:color="auto" w:fill="FFFFFF"/>
                </w:rPr>
                <w:t>O’Flaherty and Beal, 2018</w:t>
              </w:r>
            </w:hyperlink>
            <w:r w:rsidRPr="00B735BD">
              <w:rPr>
                <w:rFonts w:cs="Arial"/>
                <w:color w:val="3A3A3A"/>
                <w:sz w:val="22"/>
                <w:szCs w:val="22"/>
                <w:shd w:val="clear" w:color="auto" w:fill="FFFFFF"/>
              </w:rPr>
              <w:t>.</w:t>
            </w:r>
          </w:p>
          <w:p w14:paraId="2A7D551F" w14:textId="0BC0B01C" w:rsidR="00206A3D" w:rsidRPr="00B735BD" w:rsidRDefault="00206A3D" w:rsidP="001C17D5">
            <w:pPr>
              <w:pStyle w:val="TableRowCentered"/>
              <w:ind w:left="0" w:right="0"/>
              <w:jc w:val="left"/>
              <w:rPr>
                <w:rFonts w:cs="Arial"/>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D1585AD" w:rsidR="00E66558" w:rsidRPr="00B735BD" w:rsidRDefault="00206A3D" w:rsidP="00C31636">
            <w:pPr>
              <w:pStyle w:val="TableRowCentered"/>
              <w:ind w:left="0" w:right="0"/>
              <w:jc w:val="left"/>
              <w:rPr>
                <w:rFonts w:cs="Arial"/>
                <w:sz w:val="22"/>
                <w:szCs w:val="22"/>
              </w:rPr>
            </w:pPr>
            <w:r w:rsidRPr="00B735BD">
              <w:rPr>
                <w:rFonts w:cs="Arial"/>
                <w:sz w:val="22"/>
                <w:szCs w:val="22"/>
              </w:rPr>
              <w:t>1, 2, 3, 4, 5</w:t>
            </w:r>
          </w:p>
        </w:tc>
      </w:tr>
      <w:tr w:rsidR="00B40FC5" w:rsidRPr="00B735BD" w14:paraId="6E528E76" w14:textId="77777777" w:rsidTr="00464BE8">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62D3" w14:textId="5F98BCF3" w:rsidR="00B40FC5" w:rsidRPr="00B735BD" w:rsidRDefault="00D17A57" w:rsidP="00C31636">
            <w:pPr>
              <w:pStyle w:val="TableRow"/>
              <w:ind w:left="0" w:right="0"/>
              <w:rPr>
                <w:rFonts w:cs="Arial"/>
                <w:sz w:val="22"/>
                <w:szCs w:val="22"/>
              </w:rPr>
            </w:pPr>
            <w:r w:rsidRPr="00B735BD">
              <w:rPr>
                <w:rFonts w:cs="Arial"/>
                <w:sz w:val="22"/>
                <w:szCs w:val="22"/>
              </w:rPr>
              <w:t xml:space="preserve">Inter-trust </w:t>
            </w:r>
            <w:r w:rsidR="002907A9" w:rsidRPr="00B735BD">
              <w:rPr>
                <w:rFonts w:cs="Arial"/>
                <w:sz w:val="22"/>
                <w:szCs w:val="22"/>
              </w:rPr>
              <w:t xml:space="preserve">school collaboration </w:t>
            </w: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C5915" w14:textId="3D599567" w:rsidR="00B40FC5" w:rsidRPr="00B735BD" w:rsidRDefault="00785DCD" w:rsidP="00C31636">
            <w:pPr>
              <w:pStyle w:val="TableRowCentered"/>
              <w:ind w:left="0" w:right="0"/>
              <w:jc w:val="left"/>
              <w:rPr>
                <w:rFonts w:cs="Arial"/>
                <w:sz w:val="22"/>
                <w:szCs w:val="22"/>
              </w:rPr>
            </w:pPr>
            <w:r w:rsidRPr="00B735BD">
              <w:rPr>
                <w:rFonts w:cs="Arial"/>
                <w:sz w:val="22"/>
                <w:szCs w:val="22"/>
              </w:rPr>
              <w:t>The Diversity Pathfinder Project (DPP), funded by the DfE</w:t>
            </w:r>
            <w:r w:rsidR="00C31D51" w:rsidRPr="00B735BD">
              <w:rPr>
                <w:rFonts w:cs="Arial"/>
                <w:sz w:val="22"/>
                <w:szCs w:val="22"/>
              </w:rPr>
              <w:t xml:space="preserve">, found </w:t>
            </w:r>
            <w:r w:rsidR="002C35E2" w:rsidRPr="00B735BD">
              <w:rPr>
                <w:rFonts w:cs="Arial"/>
                <w:sz w:val="22"/>
                <w:szCs w:val="22"/>
              </w:rPr>
              <w:t>‘improvement in relation to student attainment over the timeline of the initiative’</w:t>
            </w:r>
            <w:r w:rsidR="00B83781" w:rsidRPr="00B735BD">
              <w:rPr>
                <w:rFonts w:cs="Arial"/>
                <w:sz w:val="22"/>
                <w:szCs w:val="22"/>
              </w:rPr>
              <w:t xml:space="preserve"> when schools collaborated </w:t>
            </w:r>
            <w:r w:rsidR="00852452" w:rsidRPr="00B735BD">
              <w:rPr>
                <w:rFonts w:cs="Arial"/>
                <w:sz w:val="22"/>
                <w:szCs w:val="22"/>
              </w:rPr>
              <w:t xml:space="preserve">– </w:t>
            </w:r>
            <w:hyperlink r:id="rId9" w:history="1">
              <w:r w:rsidR="00852452" w:rsidRPr="001F6947">
                <w:rPr>
                  <w:rStyle w:val="Hyperlink"/>
                  <w:rFonts w:cs="Arial"/>
                  <w:sz w:val="22"/>
                  <w:szCs w:val="22"/>
                </w:rPr>
                <w:t>DfE, Dr P Armstrong</w:t>
              </w:r>
            </w:hyperlink>
          </w:p>
          <w:p w14:paraId="1D781BA3" w14:textId="04523EAD" w:rsidR="00F25604" w:rsidRPr="00B735BD" w:rsidRDefault="00F25604" w:rsidP="001F6947">
            <w:pPr>
              <w:pStyle w:val="TableRowCentered"/>
              <w:ind w:left="0" w:right="0"/>
              <w:jc w:val="left"/>
              <w:rPr>
                <w:rFonts w:cs="Arial"/>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8EDAB" w14:textId="25406E30" w:rsidR="00B40FC5" w:rsidRPr="00B735BD" w:rsidRDefault="00F25604" w:rsidP="00C31636">
            <w:pPr>
              <w:pStyle w:val="TableRowCentered"/>
              <w:ind w:left="0" w:right="0"/>
              <w:jc w:val="left"/>
              <w:rPr>
                <w:rFonts w:cs="Arial"/>
                <w:sz w:val="22"/>
                <w:szCs w:val="22"/>
              </w:rPr>
            </w:pPr>
            <w:r w:rsidRPr="00B735BD">
              <w:rPr>
                <w:rFonts w:cs="Arial"/>
                <w:sz w:val="22"/>
                <w:szCs w:val="22"/>
              </w:rPr>
              <w:t xml:space="preserve">1, 2, 3, 4 </w:t>
            </w:r>
          </w:p>
        </w:tc>
      </w:tr>
      <w:tr w:rsidR="00B40FC5" w:rsidRPr="00B735BD" w14:paraId="42D0FB62" w14:textId="77777777" w:rsidTr="00464BE8">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7D0C" w14:textId="7CE08866" w:rsidR="00B40FC5" w:rsidRPr="00B735BD" w:rsidRDefault="008E2CBE" w:rsidP="00C31636">
            <w:pPr>
              <w:pStyle w:val="TableRow"/>
              <w:ind w:left="0" w:right="0"/>
              <w:rPr>
                <w:rFonts w:cs="Arial"/>
                <w:sz w:val="22"/>
                <w:szCs w:val="22"/>
              </w:rPr>
            </w:pPr>
            <w:r w:rsidRPr="00B735BD">
              <w:rPr>
                <w:rFonts w:cs="Arial"/>
                <w:sz w:val="22"/>
                <w:szCs w:val="22"/>
              </w:rPr>
              <w:t xml:space="preserve">Classroom resources to support HQT: </w:t>
            </w:r>
            <w:r w:rsidR="00464BE8" w:rsidRPr="00B735BD">
              <w:rPr>
                <w:rFonts w:cs="Arial"/>
                <w:sz w:val="22"/>
                <w:szCs w:val="22"/>
              </w:rPr>
              <w:t xml:space="preserve">High-quality </w:t>
            </w:r>
            <w:r w:rsidR="00464BE8" w:rsidRPr="00B735BD">
              <w:rPr>
                <w:rFonts w:cs="Arial"/>
                <w:sz w:val="22"/>
                <w:szCs w:val="22"/>
              </w:rPr>
              <w:lastRenderedPageBreak/>
              <w:t>texts, t</w:t>
            </w:r>
            <w:r w:rsidRPr="00B735BD">
              <w:rPr>
                <w:rFonts w:cs="Arial"/>
                <w:sz w:val="22"/>
                <w:szCs w:val="22"/>
              </w:rPr>
              <w:t xml:space="preserve">ables </w:t>
            </w:r>
            <w:r w:rsidR="00464BE8" w:rsidRPr="00B735BD">
              <w:rPr>
                <w:rFonts w:cs="Arial"/>
                <w:sz w:val="22"/>
                <w:szCs w:val="22"/>
              </w:rPr>
              <w:t>s</w:t>
            </w:r>
            <w:r w:rsidRPr="00B735BD">
              <w:rPr>
                <w:rFonts w:cs="Arial"/>
                <w:sz w:val="22"/>
                <w:szCs w:val="22"/>
              </w:rPr>
              <w:t xml:space="preserve">tick, </w:t>
            </w:r>
            <w:r w:rsidR="00464BE8" w:rsidRPr="00B735BD">
              <w:rPr>
                <w:rFonts w:cs="Arial"/>
                <w:sz w:val="22"/>
                <w:szCs w:val="22"/>
              </w:rPr>
              <w:t>m</w:t>
            </w:r>
            <w:r w:rsidRPr="00B735BD">
              <w:rPr>
                <w:rFonts w:cs="Arial"/>
                <w:sz w:val="22"/>
                <w:szCs w:val="22"/>
              </w:rPr>
              <w:t>ini-</w:t>
            </w:r>
            <w:r w:rsidR="00464BE8" w:rsidRPr="00B735BD">
              <w:rPr>
                <w:rFonts w:cs="Arial"/>
                <w:sz w:val="22"/>
                <w:szCs w:val="22"/>
              </w:rPr>
              <w:t>w</w:t>
            </w:r>
            <w:r w:rsidRPr="00B735BD">
              <w:rPr>
                <w:rFonts w:cs="Arial"/>
                <w:sz w:val="22"/>
                <w:szCs w:val="22"/>
              </w:rPr>
              <w:t>hiteboards</w:t>
            </w: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D934" w14:textId="1D76FD9F" w:rsidR="00DE7548" w:rsidRPr="00B735BD" w:rsidRDefault="00DE7548" w:rsidP="00DE7548">
            <w:pPr>
              <w:pStyle w:val="TableRowCentered"/>
              <w:ind w:left="0" w:right="0"/>
              <w:jc w:val="left"/>
              <w:rPr>
                <w:rFonts w:cs="Arial"/>
                <w:color w:val="263238"/>
                <w:sz w:val="22"/>
                <w:szCs w:val="22"/>
                <w:shd w:val="clear" w:color="auto" w:fill="FFFFFF"/>
              </w:rPr>
            </w:pPr>
            <w:r w:rsidRPr="00B735BD">
              <w:rPr>
                <w:rFonts w:cs="Arial"/>
                <w:color w:val="263238"/>
                <w:sz w:val="22"/>
                <w:szCs w:val="22"/>
                <w:shd w:val="clear" w:color="auto" w:fill="FFFFFF"/>
              </w:rPr>
              <w:lastRenderedPageBreak/>
              <w:t xml:space="preserve">“Ensuring every teacher is supported in delivering high-quality teaching is essential to achieving the best </w:t>
            </w:r>
            <w:r w:rsidRPr="00B735BD">
              <w:rPr>
                <w:rFonts w:cs="Arial"/>
                <w:color w:val="263238"/>
                <w:sz w:val="22"/>
                <w:szCs w:val="22"/>
                <w:shd w:val="clear" w:color="auto" w:fill="FFFFFF"/>
              </w:rPr>
              <w:lastRenderedPageBreak/>
              <w:t xml:space="preserve">outcomes for all pupils, particularly the most disadvantaged among them.” – </w:t>
            </w:r>
            <w:hyperlink r:id="rId10" w:history="1">
              <w:r w:rsidRPr="001F6947">
                <w:rPr>
                  <w:rStyle w:val="Hyperlink"/>
                  <w:rFonts w:cs="Arial"/>
                  <w:sz w:val="22"/>
                  <w:szCs w:val="22"/>
                  <w:shd w:val="clear" w:color="auto" w:fill="FFFFFF"/>
                </w:rPr>
                <w:t>EEF</w:t>
              </w:r>
              <w:r w:rsidR="001F6947" w:rsidRPr="001F6947">
                <w:rPr>
                  <w:rStyle w:val="Hyperlink"/>
                  <w:rFonts w:cs="Arial"/>
                  <w:sz w:val="22"/>
                  <w:szCs w:val="22"/>
                  <w:shd w:val="clear" w:color="auto" w:fill="FFFFFF"/>
                </w:rPr>
                <w:t xml:space="preserve"> – 2025 </w:t>
              </w:r>
            </w:hyperlink>
            <w:r w:rsidRPr="00B735BD">
              <w:rPr>
                <w:rFonts w:cs="Arial"/>
                <w:color w:val="263238"/>
                <w:sz w:val="22"/>
                <w:szCs w:val="22"/>
                <w:shd w:val="clear" w:color="auto" w:fill="FFFFFF"/>
              </w:rPr>
              <w:t xml:space="preserve"> </w:t>
            </w:r>
          </w:p>
          <w:p w14:paraId="79D606A7" w14:textId="77777777" w:rsidR="00B40FC5" w:rsidRPr="00B735BD" w:rsidRDefault="00B40FC5" w:rsidP="00C31636">
            <w:pPr>
              <w:pStyle w:val="TableRowCentered"/>
              <w:ind w:left="0" w:right="0"/>
              <w:jc w:val="left"/>
              <w:rPr>
                <w:rFonts w:cs="Arial"/>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37F2" w14:textId="729AFA12" w:rsidR="00B40FC5" w:rsidRPr="00B735BD" w:rsidRDefault="00DE7548" w:rsidP="00C31636">
            <w:pPr>
              <w:pStyle w:val="TableRowCentered"/>
              <w:ind w:left="0" w:right="0"/>
              <w:jc w:val="left"/>
              <w:rPr>
                <w:rFonts w:cs="Arial"/>
                <w:sz w:val="22"/>
                <w:szCs w:val="22"/>
              </w:rPr>
            </w:pPr>
            <w:r w:rsidRPr="00B735BD">
              <w:rPr>
                <w:rFonts w:cs="Arial"/>
                <w:sz w:val="22"/>
                <w:szCs w:val="22"/>
              </w:rPr>
              <w:lastRenderedPageBreak/>
              <w:t xml:space="preserve">1, </w:t>
            </w:r>
            <w:r w:rsidR="00F25604" w:rsidRPr="00B735BD">
              <w:rPr>
                <w:rFonts w:cs="Arial"/>
                <w:sz w:val="22"/>
                <w:szCs w:val="22"/>
              </w:rPr>
              <w:t>3, 5</w:t>
            </w:r>
          </w:p>
        </w:tc>
      </w:tr>
      <w:tr w:rsidR="00110746" w:rsidRPr="00B735BD" w14:paraId="6A878D1A" w14:textId="77777777" w:rsidTr="00464BE8">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4AFB" w14:textId="63E9A99C" w:rsidR="00110746" w:rsidRPr="00B735BD" w:rsidRDefault="00110746" w:rsidP="00C31636">
            <w:pPr>
              <w:pStyle w:val="TableRow"/>
              <w:ind w:left="0" w:right="0"/>
              <w:rPr>
                <w:rFonts w:cs="Arial"/>
                <w:sz w:val="22"/>
                <w:szCs w:val="22"/>
              </w:rPr>
            </w:pPr>
            <w:r w:rsidRPr="00B735BD">
              <w:rPr>
                <w:rFonts w:cs="Arial"/>
                <w:sz w:val="22"/>
                <w:szCs w:val="22"/>
              </w:rPr>
              <w:t xml:space="preserve">Increased Leadership Capacity </w:t>
            </w: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B25A" w14:textId="2119460B" w:rsidR="00110746" w:rsidRPr="00B735BD" w:rsidRDefault="008765E9" w:rsidP="00DE7548">
            <w:pPr>
              <w:pStyle w:val="TableRowCentered"/>
              <w:ind w:left="0" w:right="0"/>
              <w:jc w:val="left"/>
              <w:rPr>
                <w:sz w:val="22"/>
                <w:szCs w:val="22"/>
              </w:rPr>
            </w:pPr>
            <w:r w:rsidRPr="00B735BD">
              <w:rPr>
                <w:sz w:val="22"/>
                <w:szCs w:val="22"/>
              </w:rPr>
              <w:t xml:space="preserve">“Total leadership accounted for a quite significant 27 per cent of the variation in student achievement across schools” </w:t>
            </w:r>
            <w:r w:rsidR="007F63F3" w:rsidRPr="00B735BD">
              <w:rPr>
                <w:sz w:val="22"/>
                <w:szCs w:val="22"/>
              </w:rPr>
              <w:t>–</w:t>
            </w:r>
            <w:r w:rsidRPr="00B735BD">
              <w:rPr>
                <w:sz w:val="22"/>
                <w:szCs w:val="22"/>
              </w:rPr>
              <w:t xml:space="preserve"> </w:t>
            </w:r>
            <w:hyperlink r:id="rId11" w:history="1">
              <w:r w:rsidR="007F63F3" w:rsidRPr="001F6947">
                <w:rPr>
                  <w:rStyle w:val="Hyperlink"/>
                  <w:sz w:val="22"/>
                  <w:szCs w:val="22"/>
                </w:rPr>
                <w:t>Seven Strong Claims About Successful School Leadership.</w:t>
              </w:r>
            </w:hyperlink>
            <w:r w:rsidR="007F63F3" w:rsidRPr="00B735BD">
              <w:rPr>
                <w:sz w:val="22"/>
                <w:szCs w:val="22"/>
              </w:rPr>
              <w:t xml:space="preserve"> </w:t>
            </w:r>
          </w:p>
          <w:p w14:paraId="3588872E" w14:textId="4CD35EA5" w:rsidR="007F63F3" w:rsidRPr="00B735BD" w:rsidRDefault="007F63F3" w:rsidP="001F6947">
            <w:pPr>
              <w:pStyle w:val="TableRowCentered"/>
              <w:ind w:left="0" w:right="0"/>
              <w:jc w:val="left"/>
              <w:rPr>
                <w:rFonts w:cs="Arial"/>
                <w:color w:val="263238"/>
                <w:sz w:val="22"/>
                <w:szCs w:val="22"/>
                <w:shd w:val="clear" w:color="auto" w:fill="FFFFFF"/>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6BD43" w14:textId="161CA655" w:rsidR="00110746" w:rsidRPr="00B735BD" w:rsidRDefault="00110746" w:rsidP="00C31636">
            <w:pPr>
              <w:pStyle w:val="TableRowCentered"/>
              <w:ind w:left="0" w:right="0"/>
              <w:jc w:val="left"/>
              <w:rPr>
                <w:rFonts w:cs="Arial"/>
                <w:sz w:val="22"/>
                <w:szCs w:val="22"/>
              </w:rPr>
            </w:pPr>
            <w:r w:rsidRPr="00B735BD">
              <w:rPr>
                <w:rFonts w:cs="Arial"/>
                <w:sz w:val="22"/>
                <w:szCs w:val="22"/>
              </w:rPr>
              <w:t>5</w:t>
            </w:r>
          </w:p>
        </w:tc>
      </w:tr>
    </w:tbl>
    <w:p w14:paraId="2A7D5522" w14:textId="77777777" w:rsidR="00E66558" w:rsidRPr="00B735BD" w:rsidRDefault="00E66558" w:rsidP="00ED5108"/>
    <w:p w14:paraId="2A7D5523" w14:textId="5B2BE35F" w:rsidR="00E66558" w:rsidRPr="00B735BD" w:rsidRDefault="009D71E8" w:rsidP="00AA355B">
      <w:pPr>
        <w:pStyle w:val="Heading3"/>
      </w:pPr>
      <w:r w:rsidRPr="00B735BD">
        <w:t xml:space="preserve">Targeted academic support (for example, </w:t>
      </w:r>
      <w:r w:rsidR="00D33FE5" w:rsidRPr="00B735BD">
        <w:t>tutoring, one-to-one support</w:t>
      </w:r>
      <w:r w:rsidR="00F776E1" w:rsidRPr="00B735BD">
        <w:t>,</w:t>
      </w:r>
      <w:r w:rsidR="00D33FE5" w:rsidRPr="00B735BD">
        <w:t xml:space="preserve"> </w:t>
      </w:r>
      <w:r w:rsidRPr="00B735BD">
        <w:t xml:space="preserve">structured interventions) </w:t>
      </w:r>
    </w:p>
    <w:p w14:paraId="2A7D5524" w14:textId="6A9C31C6" w:rsidR="00E66558" w:rsidRPr="00B735BD" w:rsidRDefault="009D71E8">
      <w:r w:rsidRPr="00B735BD">
        <w:t>Budgeted cost: £</w:t>
      </w:r>
      <w:r w:rsidR="008B252C">
        <w:t>55,</w:t>
      </w:r>
      <w:r w:rsidR="00FA3430">
        <w:t>400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B735BD"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B735BD" w:rsidRDefault="009D71E8" w:rsidP="00C31636">
            <w:pPr>
              <w:pStyle w:val="TableHeader"/>
              <w:ind w:left="0" w:right="0"/>
              <w:jc w:val="left"/>
            </w:pPr>
            <w:r w:rsidRPr="00B735BD">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B735BD" w:rsidRDefault="009D71E8" w:rsidP="00C31636">
            <w:pPr>
              <w:pStyle w:val="TableHeader"/>
              <w:ind w:left="0" w:right="0"/>
              <w:jc w:val="left"/>
            </w:pPr>
            <w:r w:rsidRPr="00B735BD">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B735BD" w:rsidRDefault="009D71E8" w:rsidP="00C31636">
            <w:pPr>
              <w:pStyle w:val="TableHeader"/>
              <w:ind w:left="0" w:right="0"/>
              <w:jc w:val="left"/>
            </w:pPr>
            <w:r w:rsidRPr="00B735BD">
              <w:t>Challenge number(s) addressed</w:t>
            </w:r>
          </w:p>
        </w:tc>
      </w:tr>
      <w:tr w:rsidR="00E66558" w:rsidRPr="00B735BD"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3ED9AFF" w:rsidR="00E66558" w:rsidRPr="00B735BD" w:rsidRDefault="0026393D" w:rsidP="00C31636">
            <w:pPr>
              <w:pStyle w:val="TableRow"/>
              <w:ind w:left="0" w:right="0"/>
            </w:pPr>
            <w:r w:rsidRPr="00B735BD">
              <w:rPr>
                <w:sz w:val="22"/>
                <w:szCs w:val="22"/>
              </w:rPr>
              <w:t xml:space="preserve">Pre/Post school phonics intervention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7AB8" w14:textId="2D728AF2" w:rsidR="00E66558" w:rsidRPr="00B735BD" w:rsidRDefault="005009F8" w:rsidP="00C31636">
            <w:pPr>
              <w:pStyle w:val="TableRowCentered"/>
              <w:ind w:left="0" w:right="0"/>
              <w:jc w:val="left"/>
              <w:rPr>
                <w:rFonts w:cs="Arial"/>
                <w:color w:val="263238"/>
                <w:sz w:val="22"/>
                <w:szCs w:val="22"/>
                <w:shd w:val="clear" w:color="auto" w:fill="FFFFFF"/>
              </w:rPr>
            </w:pPr>
            <w:r w:rsidRPr="00B735BD">
              <w:rPr>
                <w:rFonts w:cs="Arial"/>
                <w:color w:val="263238"/>
                <w:sz w:val="22"/>
                <w:szCs w:val="22"/>
                <w:shd w:val="clear" w:color="auto" w:fill="FFFFFF"/>
              </w:rPr>
              <w:t>“</w:t>
            </w:r>
            <w:r w:rsidR="00605751" w:rsidRPr="00B735BD">
              <w:rPr>
                <w:rFonts w:cs="Arial"/>
                <w:color w:val="263238"/>
                <w:sz w:val="22"/>
                <w:szCs w:val="22"/>
                <w:shd w:val="clear" w:color="auto" w:fill="FFFFFF"/>
              </w:rPr>
              <w:t>...</w:t>
            </w:r>
            <w:r w:rsidR="007F09FC" w:rsidRPr="00B735BD">
              <w:rPr>
                <w:rFonts w:cs="Arial"/>
                <w:color w:val="263238"/>
                <w:sz w:val="22"/>
                <w:szCs w:val="22"/>
                <w:shd w:val="clear" w:color="auto" w:fill="FFFFFF"/>
              </w:rPr>
              <w:t xml:space="preserve">small group and one to one </w:t>
            </w:r>
            <w:r w:rsidR="00605751" w:rsidRPr="00B735BD">
              <w:rPr>
                <w:rFonts w:cs="Arial"/>
                <w:color w:val="263238"/>
                <w:sz w:val="22"/>
                <w:szCs w:val="22"/>
                <w:shd w:val="clear" w:color="auto" w:fill="FFFFFF"/>
              </w:rPr>
              <w:t>intervention</w:t>
            </w:r>
            <w:r w:rsidR="007F09FC" w:rsidRPr="00B735BD">
              <w:rPr>
                <w:rFonts w:cs="Arial"/>
                <w:color w:val="263238"/>
                <w:sz w:val="22"/>
                <w:szCs w:val="22"/>
                <w:shd w:val="clear" w:color="auto" w:fill="FFFFFF"/>
              </w:rPr>
              <w:t xml:space="preserve"> can be a powerful tool for supporting</w:t>
            </w:r>
            <w:r w:rsidR="00605751" w:rsidRPr="00B735BD">
              <w:rPr>
                <w:rFonts w:cs="Arial"/>
                <w:color w:val="263238"/>
                <w:sz w:val="22"/>
                <w:szCs w:val="22"/>
                <w:shd w:val="clear" w:color="auto" w:fill="FFFFFF"/>
              </w:rPr>
              <w:t>...  interventions should be targeted at specific pupils using information gathered from assessments...</w:t>
            </w:r>
            <w:r w:rsidRPr="00B735BD">
              <w:rPr>
                <w:rFonts w:cs="Arial"/>
                <w:color w:val="263238"/>
                <w:sz w:val="22"/>
                <w:szCs w:val="22"/>
                <w:shd w:val="clear" w:color="auto" w:fill="FFFFFF"/>
              </w:rPr>
              <w:t>”</w:t>
            </w:r>
            <w:r w:rsidR="001F6947">
              <w:rPr>
                <w:rFonts w:cs="Arial"/>
                <w:color w:val="263238"/>
                <w:sz w:val="22"/>
                <w:szCs w:val="22"/>
                <w:shd w:val="clear" w:color="auto" w:fill="FFFFFF"/>
              </w:rPr>
              <w:t xml:space="preserve"> </w:t>
            </w:r>
            <w:hyperlink r:id="rId12" w:history="1">
              <w:r w:rsidR="001F6947" w:rsidRPr="001F6947">
                <w:rPr>
                  <w:rStyle w:val="Hyperlink"/>
                  <w:rFonts w:cs="Arial"/>
                  <w:sz w:val="22"/>
                  <w:szCs w:val="22"/>
                  <w:shd w:val="clear" w:color="auto" w:fill="FFFFFF"/>
                </w:rPr>
                <w:t>EEF – 2024</w:t>
              </w:r>
            </w:hyperlink>
          </w:p>
          <w:p w14:paraId="2A7D552A" w14:textId="02473065" w:rsidR="00110746" w:rsidRPr="00B735BD" w:rsidRDefault="00110746" w:rsidP="001F6947">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F3EA410" w:rsidR="00E66558" w:rsidRPr="00B735BD" w:rsidRDefault="00110746" w:rsidP="00C31636">
            <w:pPr>
              <w:pStyle w:val="TableRowCentered"/>
              <w:ind w:left="0" w:right="0"/>
              <w:jc w:val="left"/>
              <w:rPr>
                <w:sz w:val="22"/>
              </w:rPr>
            </w:pPr>
            <w:r w:rsidRPr="00B735BD">
              <w:rPr>
                <w:sz w:val="22"/>
              </w:rPr>
              <w:t>1, 3, 4, 5</w:t>
            </w:r>
          </w:p>
        </w:tc>
      </w:tr>
      <w:tr w:rsidR="00E66558" w:rsidRPr="00B735BD"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5747E8F" w:rsidR="00E66558" w:rsidRPr="00B735BD" w:rsidRDefault="00D17A57" w:rsidP="00C31636">
            <w:pPr>
              <w:pStyle w:val="TableRow"/>
              <w:ind w:left="0" w:right="0"/>
              <w:rPr>
                <w:sz w:val="22"/>
              </w:rPr>
            </w:pPr>
            <w:r w:rsidRPr="00B735BD">
              <w:rPr>
                <w:sz w:val="22"/>
              </w:rPr>
              <w:t xml:space="preserve">Y6 Tutoring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8023" w14:textId="2E6A3F2D" w:rsidR="00E36DFC" w:rsidRPr="00B735BD" w:rsidRDefault="005009F8" w:rsidP="00E36DFC">
            <w:pPr>
              <w:pStyle w:val="TableRowCentered"/>
              <w:ind w:left="0" w:right="0"/>
              <w:jc w:val="left"/>
              <w:rPr>
                <w:rFonts w:cs="Arial"/>
                <w:color w:val="263238"/>
                <w:sz w:val="22"/>
                <w:szCs w:val="22"/>
                <w:shd w:val="clear" w:color="auto" w:fill="FFFFFF"/>
              </w:rPr>
            </w:pPr>
            <w:r w:rsidRPr="00B735BD">
              <w:rPr>
                <w:rFonts w:cs="Arial"/>
                <w:color w:val="263238"/>
                <w:sz w:val="22"/>
                <w:szCs w:val="22"/>
                <w:shd w:val="clear" w:color="auto" w:fill="FFFFFF"/>
              </w:rPr>
              <w:t>“</w:t>
            </w:r>
            <w:r w:rsidR="00E36DFC" w:rsidRPr="00B735BD">
              <w:rPr>
                <w:rFonts w:cs="Arial"/>
                <w:color w:val="263238"/>
                <w:sz w:val="22"/>
                <w:szCs w:val="22"/>
                <w:shd w:val="clear" w:color="auto" w:fill="FFFFFF"/>
              </w:rPr>
              <w:t xml:space="preserve">...small group and one to </w:t>
            </w:r>
            <w:r w:rsidR="00383676" w:rsidRPr="00B735BD">
              <w:rPr>
                <w:rFonts w:cs="Arial"/>
                <w:color w:val="263238"/>
                <w:sz w:val="22"/>
                <w:szCs w:val="22"/>
                <w:shd w:val="clear" w:color="auto" w:fill="FFFFFF"/>
              </w:rPr>
              <w:t>o</w:t>
            </w:r>
            <w:r w:rsidR="00E36DFC" w:rsidRPr="00B735BD">
              <w:rPr>
                <w:rFonts w:cs="Arial"/>
                <w:color w:val="263238"/>
                <w:sz w:val="22"/>
                <w:szCs w:val="22"/>
                <w:shd w:val="clear" w:color="auto" w:fill="FFFFFF"/>
              </w:rPr>
              <w:t>ne intervention can be a powerful tool for supporting...  interventions should be targeted at specific pupils using information gathered from assessments...</w:t>
            </w:r>
            <w:r w:rsidRPr="00B735BD">
              <w:rPr>
                <w:rFonts w:cs="Arial"/>
                <w:color w:val="263238"/>
                <w:sz w:val="22"/>
                <w:szCs w:val="22"/>
                <w:shd w:val="clear" w:color="auto" w:fill="FFFFFF"/>
              </w:rPr>
              <w:t>”</w:t>
            </w:r>
            <w:r w:rsidR="001F6947">
              <w:rPr>
                <w:rFonts w:cs="Arial"/>
                <w:color w:val="263238"/>
                <w:sz w:val="22"/>
                <w:szCs w:val="22"/>
                <w:shd w:val="clear" w:color="auto" w:fill="FFFFFF"/>
              </w:rPr>
              <w:t xml:space="preserve"> </w:t>
            </w:r>
            <w:hyperlink r:id="rId13" w:history="1">
              <w:r w:rsidR="001F6947" w:rsidRPr="001F6947">
                <w:rPr>
                  <w:rStyle w:val="Hyperlink"/>
                  <w:rFonts w:cs="Arial"/>
                  <w:sz w:val="22"/>
                  <w:szCs w:val="22"/>
                  <w:shd w:val="clear" w:color="auto" w:fill="FFFFFF"/>
                </w:rPr>
                <w:t>EEF – 2024</w:t>
              </w:r>
            </w:hyperlink>
          </w:p>
          <w:p w14:paraId="2A7D552E" w14:textId="77777777" w:rsidR="00E66558" w:rsidRPr="00B735BD" w:rsidRDefault="00E66558" w:rsidP="001F6947">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334DE1A" w:rsidR="00E66558" w:rsidRPr="00B735BD" w:rsidRDefault="00383676" w:rsidP="00C31636">
            <w:pPr>
              <w:pStyle w:val="TableRowCentered"/>
              <w:ind w:left="0" w:right="0"/>
              <w:jc w:val="left"/>
              <w:rPr>
                <w:sz w:val="22"/>
              </w:rPr>
            </w:pPr>
            <w:r w:rsidRPr="00B735BD">
              <w:rPr>
                <w:sz w:val="22"/>
              </w:rPr>
              <w:t>3, 4, 5</w:t>
            </w:r>
          </w:p>
        </w:tc>
      </w:tr>
      <w:tr w:rsidR="00D17A57" w:rsidRPr="00B735BD" w14:paraId="058232E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CE18" w14:textId="1F28FF70" w:rsidR="00D17A57" w:rsidRPr="00B735BD" w:rsidRDefault="00496B49" w:rsidP="00C31636">
            <w:pPr>
              <w:pStyle w:val="TableRow"/>
              <w:ind w:left="0" w:right="0"/>
              <w:rPr>
                <w:sz w:val="22"/>
              </w:rPr>
            </w:pPr>
            <w:r w:rsidRPr="00B735BD">
              <w:rPr>
                <w:sz w:val="22"/>
              </w:rPr>
              <w:t xml:space="preserve">Parent Workshops </w:t>
            </w:r>
            <w:r w:rsidR="00764B66" w:rsidRPr="00B735BD">
              <w:rPr>
                <w:sz w:val="22"/>
              </w:rPr>
              <w:t xml:space="preserve">(inc. external agencies)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EBA9" w14:textId="6C39213A" w:rsidR="00D17A57" w:rsidRPr="00B735BD" w:rsidRDefault="005009F8" w:rsidP="00C31636">
            <w:pPr>
              <w:pStyle w:val="TableRowCentered"/>
              <w:ind w:left="0" w:right="0"/>
              <w:jc w:val="left"/>
              <w:rPr>
                <w:rFonts w:cs="Arial"/>
                <w:color w:val="263238"/>
                <w:sz w:val="22"/>
                <w:szCs w:val="22"/>
                <w:shd w:val="clear" w:color="auto" w:fill="FFFFFF"/>
              </w:rPr>
            </w:pPr>
            <w:r w:rsidRPr="00B735BD">
              <w:rPr>
                <w:rFonts w:cs="Arial"/>
                <w:color w:val="263238"/>
                <w:sz w:val="22"/>
                <w:szCs w:val="22"/>
                <w:shd w:val="clear" w:color="auto" w:fill="FFFFFF"/>
              </w:rPr>
              <w:t>“Disadvantaged pupils are less likely to have access to a space to conduct home learning, or to formal and informal learning activities outside of school</w:t>
            </w:r>
            <w:r w:rsidR="00C078EA" w:rsidRPr="00B735BD">
              <w:rPr>
                <w:rFonts w:cs="Arial"/>
                <w:color w:val="263238"/>
                <w:sz w:val="22"/>
                <w:szCs w:val="22"/>
                <w:shd w:val="clear" w:color="auto" w:fill="FFFFFF"/>
              </w:rPr>
              <w:t>... designing and delivering effective approaches to support parental engagement...</w:t>
            </w:r>
            <w:r w:rsidR="003C17E6" w:rsidRPr="00B735BD">
              <w:rPr>
                <w:rFonts w:cs="Arial"/>
                <w:color w:val="263238"/>
                <w:sz w:val="22"/>
                <w:szCs w:val="22"/>
                <w:shd w:val="clear" w:color="auto" w:fill="FFFFFF"/>
              </w:rPr>
              <w:t xml:space="preserve"> may be able to mitigate this risk, supporting parents to assist their children’s learning or their self-regulation, as well as specific skills, such as reading.”</w:t>
            </w:r>
            <w:r w:rsidR="00373DD1">
              <w:rPr>
                <w:rFonts w:cs="Arial"/>
                <w:color w:val="263238"/>
                <w:sz w:val="22"/>
                <w:szCs w:val="22"/>
                <w:shd w:val="clear" w:color="auto" w:fill="FFFFFF"/>
              </w:rPr>
              <w:t xml:space="preserve"> </w:t>
            </w:r>
            <w:hyperlink r:id="rId14" w:history="1">
              <w:r w:rsidR="00373DD1" w:rsidRPr="00373DD1">
                <w:rPr>
                  <w:rStyle w:val="Hyperlink"/>
                  <w:rFonts w:cs="Arial"/>
                  <w:sz w:val="22"/>
                  <w:szCs w:val="22"/>
                  <w:shd w:val="clear" w:color="auto" w:fill="FFFFFF"/>
                </w:rPr>
                <w:t>EEF - 2024</w:t>
              </w:r>
            </w:hyperlink>
          </w:p>
          <w:p w14:paraId="32A74809" w14:textId="3749EE94" w:rsidR="003C17E6" w:rsidRPr="00B735BD" w:rsidRDefault="003C17E6" w:rsidP="001F6947">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4886" w14:textId="6F344BD9" w:rsidR="00D17A57" w:rsidRPr="00B735BD" w:rsidRDefault="0033737C" w:rsidP="00C31636">
            <w:pPr>
              <w:pStyle w:val="TableRowCentered"/>
              <w:ind w:left="0" w:right="0"/>
              <w:jc w:val="left"/>
              <w:rPr>
                <w:sz w:val="22"/>
              </w:rPr>
            </w:pPr>
            <w:r w:rsidRPr="00B735BD">
              <w:rPr>
                <w:sz w:val="22"/>
              </w:rPr>
              <w:t>1, 3, 4</w:t>
            </w:r>
          </w:p>
        </w:tc>
      </w:tr>
      <w:tr w:rsidR="00360B8C" w:rsidRPr="00B735BD" w14:paraId="610F1F3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2814" w14:textId="66536E5D" w:rsidR="00360B8C" w:rsidRPr="00B735BD" w:rsidRDefault="00B21170" w:rsidP="00C31636">
            <w:pPr>
              <w:pStyle w:val="TableRow"/>
              <w:ind w:left="0" w:right="0"/>
              <w:rPr>
                <w:sz w:val="22"/>
              </w:rPr>
            </w:pPr>
            <w:r w:rsidRPr="00B735BD">
              <w:rPr>
                <w:sz w:val="22"/>
              </w:rPr>
              <w:t>Regulation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8B56" w14:textId="2CCCBA40" w:rsidR="00360B8C" w:rsidRPr="00B735BD" w:rsidRDefault="007311A6" w:rsidP="00C31636">
            <w:pPr>
              <w:pStyle w:val="TableRowCentered"/>
              <w:ind w:left="0" w:right="0"/>
              <w:jc w:val="left"/>
            </w:pPr>
            <w:r w:rsidRPr="00B735BD">
              <w:t xml:space="preserve">“The framework and curriculum </w:t>
            </w:r>
            <w:proofErr w:type="gramStart"/>
            <w:r w:rsidRPr="00B735BD">
              <w:t>integrates</w:t>
            </w:r>
            <w:proofErr w:type="gramEnd"/>
            <w:r w:rsidRPr="00B735BD">
              <w:t xml:space="preserve"> research based theory and practices, and has demonstrated positive outcomes for learners.” – </w:t>
            </w:r>
            <w:hyperlink r:id="rId15" w:history="1">
              <w:r w:rsidRPr="00373DD1">
                <w:rPr>
                  <w:rStyle w:val="Hyperlink"/>
                </w:rPr>
                <w:t>Zones of Regulation</w:t>
              </w:r>
            </w:hyperlink>
            <w:r w:rsidRPr="00B735BD">
              <w:t xml:space="preserve"> </w:t>
            </w:r>
          </w:p>
          <w:p w14:paraId="52AF7A5B" w14:textId="6D53C30E" w:rsidR="003D7C70" w:rsidRPr="00B735BD" w:rsidRDefault="003D7C70" w:rsidP="00373DD1">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CEE6" w14:textId="5925B61F" w:rsidR="00360B8C" w:rsidRPr="00B735BD" w:rsidRDefault="003D7C70" w:rsidP="00C31636">
            <w:pPr>
              <w:pStyle w:val="TableRowCentered"/>
              <w:ind w:left="0" w:right="0"/>
              <w:jc w:val="left"/>
              <w:rPr>
                <w:sz w:val="22"/>
              </w:rPr>
            </w:pPr>
            <w:r w:rsidRPr="00B735BD">
              <w:rPr>
                <w:sz w:val="22"/>
              </w:rPr>
              <w:t xml:space="preserve">1, 4 </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1359EB2" w:rsidR="00E66558" w:rsidRDefault="009D71E8">
      <w:pPr>
        <w:spacing w:before="240" w:after="120"/>
      </w:pPr>
      <w:r>
        <w:t>Budgeted cost: £</w:t>
      </w:r>
      <w:r w:rsidR="0025309A">
        <w:t>4</w:t>
      </w:r>
      <w:r w:rsidR="0016140F">
        <w:t>9,600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552B94D" w:rsidR="00E66558" w:rsidRDefault="0026393D" w:rsidP="00C31636">
            <w:pPr>
              <w:pStyle w:val="TableRow"/>
              <w:ind w:left="0" w:right="0"/>
            </w:pPr>
            <w:r>
              <w:rPr>
                <w:i/>
                <w:iCs/>
                <w:sz w:val="22"/>
                <w:szCs w:val="22"/>
              </w:rPr>
              <w:t xml:space="preserve">Enrichment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D3F6" w14:textId="1017A87A" w:rsidR="00E66558" w:rsidRDefault="00685B1C" w:rsidP="00C31636">
            <w:pPr>
              <w:pStyle w:val="TableRowCentered"/>
              <w:ind w:left="0" w:right="0"/>
              <w:jc w:val="left"/>
            </w:pPr>
            <w:r>
              <w:t>“</w:t>
            </w:r>
            <w:proofErr w:type="spellStart"/>
            <w:r>
              <w:t>Chanfreau</w:t>
            </w:r>
            <w:proofErr w:type="spellEnd"/>
            <w:r>
              <w:t xml:space="preserve"> et al. (2016) also found that attending an ‘after school club’ was a protective factor in improving the attainment progress of children from disadvantaged backgrounds...” </w:t>
            </w:r>
            <w:hyperlink r:id="rId16" w:history="1">
              <w:r w:rsidR="00403617" w:rsidRPr="00373DD1">
                <w:rPr>
                  <w:rStyle w:val="Hyperlink"/>
                </w:rPr>
                <w:t>Government Social Research – 2024</w:t>
              </w:r>
            </w:hyperlink>
            <w:r w:rsidR="00403617">
              <w:t xml:space="preserve"> </w:t>
            </w:r>
          </w:p>
          <w:p w14:paraId="2A7D5539" w14:textId="3462406A" w:rsidR="00993856" w:rsidRDefault="00993856" w:rsidP="00373DD1">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429BCAC" w:rsidR="00E66558" w:rsidRDefault="005559E1" w:rsidP="00C31636">
            <w:pPr>
              <w:pStyle w:val="TableRowCentered"/>
              <w:ind w:left="0" w:right="0"/>
              <w:jc w:val="left"/>
              <w:rPr>
                <w:sz w:val="22"/>
              </w:rPr>
            </w:pPr>
            <w:r>
              <w:rPr>
                <w:sz w:val="22"/>
              </w:rPr>
              <w:t>1, 2, 4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DF79A08" w:rsidR="00E66558" w:rsidRDefault="002907A9" w:rsidP="00C31636">
            <w:pPr>
              <w:pStyle w:val="TableRow"/>
              <w:ind w:left="0" w:right="0"/>
              <w:rPr>
                <w:i/>
                <w:sz w:val="22"/>
              </w:rPr>
            </w:pPr>
            <w:r>
              <w:rPr>
                <w:i/>
                <w:sz w:val="22"/>
              </w:rPr>
              <w:t xml:space="preserve">Pastoral FLO </w:t>
            </w:r>
            <w:r w:rsidR="00177D0E">
              <w:rPr>
                <w:i/>
                <w:sz w:val="22"/>
              </w:rPr>
              <w:t xml:space="preserve">appointment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0B51" w14:textId="77777777" w:rsidR="009B605C" w:rsidRDefault="00465ABA" w:rsidP="00C31636">
            <w:pPr>
              <w:pStyle w:val="TableRowCentered"/>
              <w:ind w:left="0" w:right="0"/>
              <w:jc w:val="left"/>
            </w:pPr>
            <w:r>
              <w:t xml:space="preserve">‘social and emotional skills’ are essential for children’s development, support effective learning, and are linked to positive outcomes in later life...’ </w:t>
            </w:r>
            <w:hyperlink r:id="rId17" w:history="1">
              <w:r w:rsidRPr="009B605C">
                <w:rPr>
                  <w:rStyle w:val="Hyperlink"/>
                </w:rPr>
                <w:t xml:space="preserve">EEF </w:t>
              </w:r>
              <w:r w:rsidR="009B605C" w:rsidRPr="009B605C">
                <w:rPr>
                  <w:rStyle w:val="Hyperlink"/>
                </w:rPr>
                <w:t>–</w:t>
              </w:r>
              <w:r w:rsidRPr="009B605C">
                <w:rPr>
                  <w:rStyle w:val="Hyperlink"/>
                </w:rPr>
                <w:t xml:space="preserve"> </w:t>
              </w:r>
              <w:r w:rsidR="009B605C" w:rsidRPr="009B605C">
                <w:rPr>
                  <w:rStyle w:val="Hyperlink"/>
                </w:rPr>
                <w:t>Social and Emotional Learning</w:t>
              </w:r>
            </w:hyperlink>
          </w:p>
          <w:p w14:paraId="2A7D553D" w14:textId="51DF1B94" w:rsidR="00E66558" w:rsidRDefault="00194395" w:rsidP="00C31636">
            <w:pPr>
              <w:pStyle w:val="TableRowCentered"/>
              <w:ind w:left="0" w:right="0"/>
              <w:jc w:val="left"/>
              <w:rPr>
                <w:sz w:val="22"/>
              </w:rPr>
            </w:pPr>
            <w:hyperlink r:id="rId18" w:history="1">
              <w:r w:rsidR="00BD297B" w:rsidRPr="00916913">
                <w:rPr>
                  <w:rStyle w:val="Hyperlink"/>
                </w:rPr>
                <w:t xml:space="preserve">SEMH Toolkit for Mainstream Setting </w:t>
              </w:r>
            </w:hyperlink>
            <w:r w:rsidR="009B605C">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2ABC052" w:rsidR="00E66558" w:rsidRDefault="008B44B5" w:rsidP="00C31636">
            <w:pPr>
              <w:pStyle w:val="TableRowCentered"/>
              <w:ind w:left="0" w:right="0"/>
              <w:jc w:val="left"/>
              <w:rPr>
                <w:sz w:val="22"/>
              </w:rPr>
            </w:pPr>
            <w:r>
              <w:rPr>
                <w:sz w:val="22"/>
              </w:rPr>
              <w:t xml:space="preserve">1, 2, 4 </w:t>
            </w:r>
          </w:p>
        </w:tc>
      </w:tr>
      <w:tr w:rsidR="00177D0E" w14:paraId="0CF3311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8957B" w14:textId="560DF93D" w:rsidR="00177D0E" w:rsidRDefault="00177D0E" w:rsidP="00C31636">
            <w:pPr>
              <w:pStyle w:val="TableRow"/>
              <w:ind w:left="0" w:right="0"/>
              <w:rPr>
                <w:i/>
                <w:sz w:val="22"/>
              </w:rPr>
            </w:pPr>
            <w:r>
              <w:rPr>
                <w:i/>
                <w:sz w:val="22"/>
              </w:rPr>
              <w:t xml:space="preserve">Sensory Circuits / SEMH Sports Development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5A77" w14:textId="31DBD15C" w:rsidR="00177D0E" w:rsidRDefault="00E80477" w:rsidP="00C31636">
            <w:pPr>
              <w:pStyle w:val="TableRowCentered"/>
              <w:ind w:left="0" w:right="0"/>
              <w:jc w:val="left"/>
              <w:rPr>
                <w:sz w:val="22"/>
              </w:rPr>
            </w:pPr>
            <w:r>
              <w:rPr>
                <w:sz w:val="22"/>
              </w:rPr>
              <w:t>“...</w:t>
            </w:r>
            <w:r w:rsidRPr="00E80477">
              <w:rPr>
                <w:sz w:val="22"/>
              </w:rPr>
              <w:t>sensory circuit aims to facilitate sensory processing to help children regulate and organise their senses in order to achieve the ‘just right’ or optimum level of alertness required for effective learning</w:t>
            </w:r>
            <w:r>
              <w:rPr>
                <w:sz w:val="22"/>
              </w:rPr>
              <w:t xml:space="preserve">.” </w:t>
            </w:r>
            <w:hyperlink r:id="rId19" w:history="1">
              <w:r w:rsidR="00A2736E" w:rsidRPr="00575D0F">
                <w:rPr>
                  <w:rStyle w:val="Hyperlink"/>
                  <w:sz w:val="22"/>
                </w:rPr>
                <w:t>Children’s Choice Therapy</w:t>
              </w:r>
            </w:hyperlink>
            <w:r w:rsidR="00A2736E">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4559" w14:textId="13C0B3CA" w:rsidR="00177D0E" w:rsidRDefault="008B44B5" w:rsidP="00C31636">
            <w:pPr>
              <w:pStyle w:val="TableRowCentered"/>
              <w:ind w:left="0" w:right="0"/>
              <w:jc w:val="left"/>
              <w:rPr>
                <w:sz w:val="22"/>
              </w:rPr>
            </w:pPr>
            <w:r>
              <w:rPr>
                <w:sz w:val="22"/>
              </w:rPr>
              <w:t xml:space="preserve">1, 2, 3, 4 </w:t>
            </w:r>
          </w:p>
        </w:tc>
      </w:tr>
      <w:tr w:rsidR="007957E2" w14:paraId="232329A7" w14:textId="77777777" w:rsidTr="00017BE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7345E" w14:textId="7ACC7555" w:rsidR="007957E2" w:rsidRDefault="007957E2" w:rsidP="00C31636">
            <w:pPr>
              <w:pStyle w:val="TableRow"/>
              <w:ind w:left="0" w:right="0"/>
              <w:rPr>
                <w:i/>
                <w:sz w:val="22"/>
              </w:rPr>
            </w:pPr>
            <w:r>
              <w:rPr>
                <w:i/>
                <w:sz w:val="22"/>
              </w:rPr>
              <w:t xml:space="preserve">Attendance incentives </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10E85F" w14:textId="6DF090D5" w:rsidR="007957E2" w:rsidRDefault="00194395" w:rsidP="00C31636">
            <w:pPr>
              <w:pStyle w:val="TableRowCentered"/>
              <w:ind w:left="0" w:right="0"/>
              <w:jc w:val="left"/>
              <w:rPr>
                <w:sz w:val="22"/>
              </w:rPr>
            </w:pPr>
            <w:hyperlink r:id="rId20" w:history="1">
              <w:r w:rsidR="007957E2" w:rsidRPr="00715B13">
                <w:rPr>
                  <w:rStyle w:val="Hyperlink"/>
                  <w:sz w:val="22"/>
                </w:rPr>
                <w:t>Gov.uk – Blog – Improving School Attendance</w:t>
              </w:r>
            </w:hyperlink>
            <w:r w:rsidR="007957E2">
              <w:rPr>
                <w:sz w:val="22"/>
              </w:rPr>
              <w:t xml:space="preserve"> </w:t>
            </w:r>
          </w:p>
        </w:tc>
        <w:tc>
          <w:tcPr>
            <w:tcW w:w="25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9AF3F7C" w14:textId="1B1C5EA2" w:rsidR="007957E2" w:rsidRDefault="008B44B5" w:rsidP="00C31636">
            <w:pPr>
              <w:pStyle w:val="TableRowCentered"/>
              <w:ind w:left="0" w:right="0"/>
              <w:jc w:val="left"/>
              <w:rPr>
                <w:sz w:val="22"/>
              </w:rPr>
            </w:pPr>
            <w:r>
              <w:rPr>
                <w:sz w:val="22"/>
              </w:rPr>
              <w:t xml:space="preserve">1, 2, 4 </w:t>
            </w:r>
          </w:p>
        </w:tc>
      </w:tr>
      <w:tr w:rsidR="007957E2" w14:paraId="72149920" w14:textId="77777777" w:rsidTr="00017BE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9536" w14:textId="12F46AC9" w:rsidR="007957E2" w:rsidRDefault="007957E2" w:rsidP="00C31636">
            <w:pPr>
              <w:pStyle w:val="TableRow"/>
              <w:ind w:left="0" w:right="0"/>
              <w:rPr>
                <w:i/>
                <w:sz w:val="22"/>
              </w:rPr>
            </w:pPr>
            <w:r>
              <w:rPr>
                <w:i/>
                <w:sz w:val="22"/>
              </w:rPr>
              <w:t xml:space="preserve">Attendance miscellaneous </w:t>
            </w:r>
          </w:p>
        </w:tc>
        <w:tc>
          <w:tcPr>
            <w:tcW w:w="4254" w:type="dxa"/>
            <w:vMerge/>
            <w:tcBorders>
              <w:left w:val="single" w:sz="4" w:space="0" w:color="000000"/>
              <w:right w:val="single" w:sz="4" w:space="0" w:color="000000"/>
            </w:tcBorders>
            <w:shd w:val="clear" w:color="auto" w:fill="auto"/>
            <w:tcMar>
              <w:top w:w="0" w:type="dxa"/>
              <w:left w:w="108" w:type="dxa"/>
              <w:bottom w:w="0" w:type="dxa"/>
              <w:right w:w="108" w:type="dxa"/>
            </w:tcMar>
          </w:tcPr>
          <w:p w14:paraId="66E51022" w14:textId="77777777" w:rsidR="007957E2" w:rsidRDefault="007957E2" w:rsidP="00C31636">
            <w:pPr>
              <w:pStyle w:val="TableRowCentered"/>
              <w:ind w:left="0" w:right="0"/>
              <w:jc w:val="left"/>
              <w:rPr>
                <w:sz w:val="22"/>
              </w:rPr>
            </w:pPr>
          </w:p>
        </w:tc>
        <w:tc>
          <w:tcPr>
            <w:tcW w:w="2544" w:type="dxa"/>
            <w:vMerge/>
            <w:tcBorders>
              <w:left w:val="single" w:sz="4" w:space="0" w:color="000000"/>
              <w:right w:val="single" w:sz="4" w:space="0" w:color="000000"/>
            </w:tcBorders>
            <w:shd w:val="clear" w:color="auto" w:fill="auto"/>
            <w:tcMar>
              <w:top w:w="0" w:type="dxa"/>
              <w:left w:w="108" w:type="dxa"/>
              <w:bottom w:w="0" w:type="dxa"/>
              <w:right w:w="108" w:type="dxa"/>
            </w:tcMar>
          </w:tcPr>
          <w:p w14:paraId="7CA8C82E" w14:textId="77777777" w:rsidR="007957E2" w:rsidRDefault="007957E2" w:rsidP="00C31636">
            <w:pPr>
              <w:pStyle w:val="TableRowCentered"/>
              <w:ind w:left="0" w:right="0"/>
              <w:jc w:val="left"/>
              <w:rPr>
                <w:sz w:val="22"/>
              </w:rPr>
            </w:pPr>
          </w:p>
        </w:tc>
      </w:tr>
      <w:tr w:rsidR="007957E2" w14:paraId="1E393194" w14:textId="77777777" w:rsidTr="00017BE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B51C" w14:textId="7988CC79" w:rsidR="007957E2" w:rsidRDefault="007957E2" w:rsidP="00C31636">
            <w:pPr>
              <w:pStyle w:val="TableRow"/>
              <w:ind w:left="0" w:right="0"/>
              <w:rPr>
                <w:i/>
                <w:sz w:val="22"/>
              </w:rPr>
            </w:pPr>
            <w:r>
              <w:rPr>
                <w:i/>
                <w:sz w:val="22"/>
              </w:rPr>
              <w:t xml:space="preserve">Belonging Strategy (inc. resources for Coffee Pod) </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9AE3" w14:textId="77777777" w:rsidR="007957E2" w:rsidRDefault="007957E2" w:rsidP="00C31636">
            <w:pPr>
              <w:pStyle w:val="TableRowCentered"/>
              <w:ind w:left="0" w:right="0"/>
              <w:jc w:val="left"/>
              <w:rPr>
                <w:sz w:val="22"/>
              </w:rPr>
            </w:pPr>
          </w:p>
        </w:tc>
        <w:tc>
          <w:tcPr>
            <w:tcW w:w="25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5C2A5" w14:textId="77777777" w:rsidR="007957E2" w:rsidRDefault="007957E2" w:rsidP="00C31636">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A7D5541" w14:textId="32B22DD6" w:rsidR="00E66558" w:rsidRDefault="009D71E8" w:rsidP="00120AB1">
      <w:r>
        <w:rPr>
          <w:b/>
          <w:bCs/>
          <w:color w:val="104F75"/>
          <w:sz w:val="28"/>
          <w:szCs w:val="28"/>
        </w:rPr>
        <w:t>Total budgeted cost: £</w:t>
      </w:r>
      <w:r w:rsidR="007957E2">
        <w:rPr>
          <w:b/>
          <w:bCs/>
          <w:color w:val="104F75"/>
          <w:sz w:val="28"/>
          <w:szCs w:val="28"/>
        </w:rPr>
        <w:t>150,750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DA5E6" w14:textId="72F8338E" w:rsidR="00745371" w:rsidRDefault="00036EB3" w:rsidP="009B7433">
            <w:pPr>
              <w:rPr>
                <w:i/>
                <w:iCs/>
                <w:color w:val="000000"/>
              </w:rPr>
            </w:pPr>
            <w:r>
              <w:rPr>
                <w:i/>
                <w:iCs/>
                <w:color w:val="000000"/>
              </w:rPr>
              <w:t>Our current strategy was written in</w:t>
            </w:r>
            <w:r w:rsidR="00594588">
              <w:rPr>
                <w:i/>
                <w:iCs/>
                <w:color w:val="000000"/>
              </w:rPr>
              <w:t xml:space="preserve"> September 2023</w:t>
            </w:r>
            <w:r>
              <w:rPr>
                <w:i/>
                <w:iCs/>
                <w:color w:val="000000"/>
              </w:rPr>
              <w:t>. With a decrease in pupil outcomes for 2024/2025, we wanted to reflect the changes in our approaches within the strategy</w:t>
            </w:r>
            <w:r w:rsidR="00777A86">
              <w:rPr>
                <w:i/>
                <w:iCs/>
                <w:color w:val="000000"/>
              </w:rPr>
              <w:t xml:space="preserve">. Therefore, this strategy has had a </w:t>
            </w:r>
            <w:r w:rsidR="00122172">
              <w:rPr>
                <w:i/>
                <w:iCs/>
                <w:color w:val="000000"/>
              </w:rPr>
              <w:t>rigorous</w:t>
            </w:r>
            <w:r w:rsidR="00777A86">
              <w:rPr>
                <w:i/>
                <w:iCs/>
                <w:color w:val="000000"/>
              </w:rPr>
              <w:t xml:space="preserve"> review </w:t>
            </w:r>
            <w:r w:rsidR="00122172">
              <w:rPr>
                <w:i/>
                <w:iCs/>
                <w:color w:val="000000"/>
              </w:rPr>
              <w:t xml:space="preserve">to ensure that pupils from disadvantaged backgrounds </w:t>
            </w:r>
            <w:r w:rsidR="003F578B">
              <w:rPr>
                <w:i/>
                <w:iCs/>
                <w:color w:val="000000"/>
              </w:rPr>
              <w:t xml:space="preserve">make better progress than previous years and that our offer reflects the needs of the community. </w:t>
            </w:r>
          </w:p>
          <w:p w14:paraId="072BB97B" w14:textId="18A4A379" w:rsidR="003F578B" w:rsidRDefault="003F578B" w:rsidP="009B7433">
            <w:pPr>
              <w:rPr>
                <w:i/>
                <w:iCs/>
                <w:color w:val="000000"/>
              </w:rPr>
            </w:pPr>
            <w:r>
              <w:rPr>
                <w:i/>
                <w:iCs/>
                <w:color w:val="000000"/>
              </w:rPr>
              <w:t>2024/2025</w:t>
            </w:r>
            <w:r w:rsidR="00DB747C">
              <w:rPr>
                <w:i/>
                <w:iCs/>
                <w:color w:val="000000"/>
              </w:rPr>
              <w:t xml:space="preserve"> Data Review: </w:t>
            </w:r>
          </w:p>
          <w:p w14:paraId="0CF6DF93" w14:textId="75303AE4" w:rsidR="00DB747C" w:rsidRDefault="001A420D" w:rsidP="009B7433">
            <w:pPr>
              <w:rPr>
                <w:i/>
                <w:iCs/>
                <w:color w:val="000000"/>
              </w:rPr>
            </w:pPr>
            <w:r>
              <w:rPr>
                <w:i/>
                <w:iCs/>
                <w:color w:val="000000"/>
              </w:rPr>
              <w:t>Year 6 SATs (inc. special considerations) EXS Combined</w:t>
            </w:r>
            <w:r w:rsidR="00F375C7">
              <w:rPr>
                <w:i/>
                <w:iCs/>
                <w:color w:val="000000"/>
              </w:rPr>
              <w:t xml:space="preserve">: </w:t>
            </w:r>
            <w:r w:rsidR="0073703B">
              <w:rPr>
                <w:i/>
                <w:iCs/>
                <w:color w:val="000000"/>
              </w:rPr>
              <w:t>PP 38% vs. non-PP 60%</w:t>
            </w:r>
          </w:p>
          <w:p w14:paraId="5B9ED78E" w14:textId="0C51F559" w:rsidR="0073703B" w:rsidRDefault="00D87CDA" w:rsidP="009B7433">
            <w:pPr>
              <w:rPr>
                <w:i/>
                <w:iCs/>
                <w:color w:val="000000"/>
              </w:rPr>
            </w:pPr>
            <w:r>
              <w:rPr>
                <w:i/>
                <w:iCs/>
                <w:color w:val="000000"/>
              </w:rPr>
              <w:t xml:space="preserve">Year 5 </w:t>
            </w:r>
            <w:proofErr w:type="spellStart"/>
            <w:r>
              <w:rPr>
                <w:i/>
                <w:iCs/>
                <w:color w:val="000000"/>
              </w:rPr>
              <w:t>PiXL</w:t>
            </w:r>
            <w:proofErr w:type="spellEnd"/>
            <w:r>
              <w:rPr>
                <w:i/>
                <w:iCs/>
                <w:color w:val="000000"/>
              </w:rPr>
              <w:t xml:space="preserve"> Assessments</w:t>
            </w:r>
            <w:r w:rsidR="00AD46FA">
              <w:rPr>
                <w:i/>
                <w:iCs/>
                <w:color w:val="000000"/>
              </w:rPr>
              <w:t xml:space="preserve">, EXS Combined: PP 38% vs. non-pp </w:t>
            </w:r>
            <w:r w:rsidR="00B566B7">
              <w:rPr>
                <w:i/>
                <w:iCs/>
                <w:color w:val="000000"/>
              </w:rPr>
              <w:t>53%</w:t>
            </w:r>
          </w:p>
          <w:p w14:paraId="482090AB" w14:textId="56040AE1" w:rsidR="00B566B7" w:rsidRDefault="00B566B7" w:rsidP="009B7433">
            <w:pPr>
              <w:rPr>
                <w:i/>
                <w:iCs/>
                <w:color w:val="000000"/>
              </w:rPr>
            </w:pPr>
            <w:r>
              <w:rPr>
                <w:i/>
                <w:iCs/>
                <w:color w:val="000000"/>
              </w:rPr>
              <w:t xml:space="preserve">Year 4 </w:t>
            </w:r>
            <w:proofErr w:type="spellStart"/>
            <w:r>
              <w:rPr>
                <w:i/>
                <w:iCs/>
                <w:color w:val="000000"/>
              </w:rPr>
              <w:t>PiXL</w:t>
            </w:r>
            <w:proofErr w:type="spellEnd"/>
            <w:r>
              <w:rPr>
                <w:i/>
                <w:iCs/>
                <w:color w:val="000000"/>
              </w:rPr>
              <w:t xml:space="preserve"> Assessments, EXS Combined: </w:t>
            </w:r>
            <w:r w:rsidR="008842CD">
              <w:rPr>
                <w:i/>
                <w:iCs/>
                <w:color w:val="000000"/>
              </w:rPr>
              <w:t xml:space="preserve">PP 35% vs. </w:t>
            </w:r>
            <w:r w:rsidR="002D2BD9">
              <w:rPr>
                <w:i/>
                <w:iCs/>
                <w:color w:val="000000"/>
              </w:rPr>
              <w:t>non-PP 62%</w:t>
            </w:r>
          </w:p>
          <w:p w14:paraId="630F992C" w14:textId="5A042446" w:rsidR="002D2BD9" w:rsidRDefault="002D2BD9" w:rsidP="009B7433">
            <w:pPr>
              <w:rPr>
                <w:i/>
                <w:iCs/>
                <w:color w:val="000000"/>
              </w:rPr>
            </w:pPr>
            <w:r>
              <w:rPr>
                <w:i/>
                <w:iCs/>
                <w:color w:val="000000"/>
              </w:rPr>
              <w:t>Year 4 MTC</w:t>
            </w:r>
            <w:r w:rsidR="000B2348">
              <w:rPr>
                <w:i/>
                <w:iCs/>
                <w:color w:val="000000"/>
              </w:rPr>
              <w:t xml:space="preserve"> (25/25)</w:t>
            </w:r>
            <w:r>
              <w:rPr>
                <w:i/>
                <w:iCs/>
                <w:color w:val="000000"/>
              </w:rPr>
              <w:t xml:space="preserve">: </w:t>
            </w:r>
            <w:r w:rsidR="00173A7A">
              <w:rPr>
                <w:i/>
                <w:iCs/>
                <w:color w:val="000000"/>
              </w:rPr>
              <w:t xml:space="preserve">PP </w:t>
            </w:r>
            <w:r w:rsidR="00FF6D5F">
              <w:rPr>
                <w:i/>
                <w:iCs/>
                <w:color w:val="000000"/>
              </w:rPr>
              <w:t xml:space="preserve">5.9% vs. non-PP 42.9% - National </w:t>
            </w:r>
            <w:r w:rsidR="00140A74">
              <w:rPr>
                <w:i/>
                <w:iCs/>
                <w:color w:val="000000"/>
              </w:rPr>
              <w:t xml:space="preserve">PP 25% vs. non-PP 37% </w:t>
            </w:r>
          </w:p>
          <w:p w14:paraId="18CA47E5" w14:textId="0CC46B4F" w:rsidR="00140A74" w:rsidRDefault="00F62FE7" w:rsidP="009B7433">
            <w:pPr>
              <w:rPr>
                <w:i/>
                <w:iCs/>
                <w:color w:val="000000"/>
              </w:rPr>
            </w:pPr>
            <w:r>
              <w:rPr>
                <w:i/>
                <w:iCs/>
                <w:color w:val="000000"/>
              </w:rPr>
              <w:t xml:space="preserve">Year 3 </w:t>
            </w:r>
            <w:proofErr w:type="spellStart"/>
            <w:r>
              <w:rPr>
                <w:i/>
                <w:iCs/>
                <w:color w:val="000000"/>
              </w:rPr>
              <w:t>PiXL</w:t>
            </w:r>
            <w:proofErr w:type="spellEnd"/>
            <w:r>
              <w:rPr>
                <w:i/>
                <w:iCs/>
                <w:color w:val="000000"/>
              </w:rPr>
              <w:t xml:space="preserve"> Assessments, EXS Combined: PP</w:t>
            </w:r>
            <w:r w:rsidR="00021886">
              <w:rPr>
                <w:i/>
                <w:iCs/>
                <w:color w:val="000000"/>
              </w:rPr>
              <w:t xml:space="preserve"> </w:t>
            </w:r>
            <w:r w:rsidR="00493004">
              <w:rPr>
                <w:i/>
                <w:iCs/>
                <w:color w:val="000000"/>
              </w:rPr>
              <w:t>47% vs. non-PP 50%</w:t>
            </w:r>
          </w:p>
          <w:p w14:paraId="73D0AA9D" w14:textId="3075CF49" w:rsidR="00493004" w:rsidRDefault="00671E93" w:rsidP="009B7433">
            <w:pPr>
              <w:rPr>
                <w:i/>
                <w:iCs/>
                <w:color w:val="000000"/>
              </w:rPr>
            </w:pPr>
            <w:r>
              <w:rPr>
                <w:i/>
                <w:iCs/>
                <w:color w:val="000000"/>
              </w:rPr>
              <w:t>Year 2 (</w:t>
            </w:r>
            <w:r w:rsidR="00056C80">
              <w:rPr>
                <w:i/>
                <w:iCs/>
                <w:color w:val="000000"/>
              </w:rPr>
              <w:t>2023</w:t>
            </w:r>
            <w:r>
              <w:rPr>
                <w:i/>
                <w:iCs/>
                <w:color w:val="000000"/>
              </w:rPr>
              <w:t xml:space="preserve">) SATs, EXS Combined: PP </w:t>
            </w:r>
            <w:r w:rsidR="00056C80">
              <w:rPr>
                <w:i/>
                <w:iCs/>
                <w:color w:val="000000"/>
              </w:rPr>
              <w:t xml:space="preserve">18% vs. non-PP 56% </w:t>
            </w:r>
          </w:p>
          <w:p w14:paraId="0AB881E0" w14:textId="6E871F51" w:rsidR="00FF6D5F" w:rsidRDefault="00AC6576" w:rsidP="009B7433">
            <w:pPr>
              <w:rPr>
                <w:i/>
                <w:iCs/>
                <w:color w:val="000000"/>
              </w:rPr>
            </w:pPr>
            <w:r>
              <w:rPr>
                <w:i/>
                <w:iCs/>
                <w:color w:val="000000"/>
              </w:rPr>
              <w:t>Year 1 Phonics Assessments</w:t>
            </w:r>
            <w:r w:rsidR="00020E84">
              <w:rPr>
                <w:i/>
                <w:iCs/>
                <w:color w:val="000000"/>
              </w:rPr>
              <w:t xml:space="preserve">, Meeting Expected Standard: PP </w:t>
            </w:r>
            <w:r w:rsidR="0078374B">
              <w:rPr>
                <w:i/>
                <w:iCs/>
                <w:color w:val="000000"/>
              </w:rPr>
              <w:t xml:space="preserve">58.3% vs. non-PP 87.2% </w:t>
            </w:r>
          </w:p>
          <w:p w14:paraId="3440DF16" w14:textId="77777777" w:rsidR="003522F3" w:rsidRDefault="001C6D98" w:rsidP="009B7433">
            <w:pPr>
              <w:rPr>
                <w:i/>
                <w:iCs/>
                <w:color w:val="000000"/>
              </w:rPr>
            </w:pPr>
            <w:r>
              <w:rPr>
                <w:i/>
                <w:iCs/>
                <w:color w:val="000000"/>
              </w:rPr>
              <w:t xml:space="preserve">As reflected in the updated strategy, the needs of the community have been better aligned within our strategy. Due to additional data, </w:t>
            </w:r>
            <w:r w:rsidR="00ED7494">
              <w:rPr>
                <w:i/>
                <w:iCs/>
                <w:color w:val="000000"/>
              </w:rPr>
              <w:t>new knowledge of the school community and on-going assessments, our early review is aimed at support</w:t>
            </w:r>
            <w:r w:rsidR="003D6524">
              <w:rPr>
                <w:i/>
                <w:iCs/>
                <w:color w:val="000000"/>
              </w:rPr>
              <w:t>ing</w:t>
            </w:r>
            <w:r w:rsidR="00ED7494">
              <w:rPr>
                <w:i/>
                <w:iCs/>
                <w:color w:val="000000"/>
              </w:rPr>
              <w:t xml:space="preserve"> pupils at their</w:t>
            </w:r>
            <w:r w:rsidR="003522F3">
              <w:rPr>
                <w:i/>
                <w:iCs/>
                <w:color w:val="000000"/>
              </w:rPr>
              <w:t xml:space="preserve"> level. </w:t>
            </w:r>
          </w:p>
          <w:p w14:paraId="5023926C" w14:textId="780878FF" w:rsidR="0064167B" w:rsidRPr="002F4C6F" w:rsidRDefault="003522F3" w:rsidP="00097574">
            <w:pPr>
              <w:rPr>
                <w:i/>
                <w:iCs/>
                <w:lang w:eastAsia="en-US"/>
              </w:rPr>
            </w:pPr>
            <w:r>
              <w:rPr>
                <w:i/>
                <w:iCs/>
                <w:color w:val="000000"/>
              </w:rPr>
              <w:t xml:space="preserve">We are not on track (based on the previous strategy) </w:t>
            </w:r>
            <w:r w:rsidR="008D5B56">
              <w:rPr>
                <w:i/>
                <w:iCs/>
                <w:color w:val="000000"/>
              </w:rPr>
              <w:t xml:space="preserve">to achieve our goals </w:t>
            </w:r>
            <w:r w:rsidR="00E84C9E">
              <w:rPr>
                <w:i/>
                <w:iCs/>
                <w:color w:val="000000"/>
              </w:rPr>
              <w:t>of aligning our PP data with our non-PP pupils. As stated in our</w:t>
            </w:r>
            <w:r w:rsidR="008D6273">
              <w:rPr>
                <w:i/>
                <w:iCs/>
                <w:color w:val="000000"/>
              </w:rPr>
              <w:t xml:space="preserve"> intent, we aim to ensure that all pupils </w:t>
            </w:r>
            <w:r w:rsidR="00097574">
              <w:rPr>
                <w:i/>
                <w:iCs/>
                <w:color w:val="000000"/>
              </w:rPr>
              <w:t xml:space="preserve">achieve well and that our outcomes are </w:t>
            </w:r>
            <w:proofErr w:type="spellStart"/>
            <w:r w:rsidR="00097574">
              <w:rPr>
                <w:i/>
                <w:iCs/>
                <w:color w:val="000000"/>
              </w:rPr>
              <w:t>inline</w:t>
            </w:r>
            <w:proofErr w:type="spellEnd"/>
            <w:r w:rsidR="00097574">
              <w:rPr>
                <w:i/>
                <w:iCs/>
                <w:color w:val="000000"/>
              </w:rPr>
              <w:t xml:space="preserve"> with national data. We aim to ensure that the gap between disadvantaged pupil outcomes and those who are not becomes smaller. </w:t>
            </w:r>
          </w:p>
        </w:tc>
      </w:tr>
    </w:tbl>
    <w:p w14:paraId="78B9B964" w14:textId="77777777" w:rsidR="00097574" w:rsidRDefault="00097574" w:rsidP="00A82A98">
      <w:pPr>
        <w:pStyle w:val="Heading2"/>
      </w:pPr>
    </w:p>
    <w:p w14:paraId="2A7D5548" w14:textId="080A2386"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FFB9167" w:rsidR="00E66558" w:rsidRDefault="00847AAA" w:rsidP="00F54FCB">
            <w:pPr>
              <w:pStyle w:val="TableRow"/>
              <w:ind w:left="0" w:right="0"/>
            </w:pPr>
            <w:r>
              <w:t>Sounds Write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C00780B" w:rsidR="00E66558" w:rsidRDefault="00E86704" w:rsidP="00F54FCB">
            <w:pPr>
              <w:pStyle w:val="TableRowCentered"/>
              <w:ind w:left="0" w:right="0"/>
              <w:jc w:val="left"/>
            </w:pPr>
            <w:r>
              <w:t>Sounds Write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7FDDB36" w:rsidR="00E66558" w:rsidRDefault="00FB4F65" w:rsidP="00F54FCB">
            <w:pPr>
              <w:pStyle w:val="TableRow"/>
              <w:ind w:left="0" w:right="0"/>
            </w:pPr>
            <w: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130E4D4" w:rsidR="00E66558" w:rsidRDefault="000477E5" w:rsidP="00F54FCB">
            <w:pPr>
              <w:pStyle w:val="TableRowCentered"/>
              <w:ind w:left="0" w:right="0"/>
              <w:jc w:val="left"/>
            </w:pPr>
            <w:r>
              <w:t xml:space="preserve">Nuffield Early Language Intervention </w:t>
            </w:r>
          </w:p>
        </w:tc>
      </w:tr>
      <w:tr w:rsidR="00847AAA" w14:paraId="6EB1CE7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E2F1" w14:textId="691E3DF4" w:rsidR="00FB4F65" w:rsidRDefault="00FB4F65" w:rsidP="00F54FCB">
            <w:pPr>
              <w:pStyle w:val="TableRow"/>
              <w:ind w:left="0" w:right="0"/>
            </w:pPr>
            <w:r>
              <w:t xml:space="preserve">Herts for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F18A8" w14:textId="37F7866A" w:rsidR="00847AAA" w:rsidRDefault="000477E5" w:rsidP="00F54FCB">
            <w:pPr>
              <w:pStyle w:val="TableRowCentered"/>
              <w:ind w:left="0" w:right="0"/>
              <w:jc w:val="left"/>
            </w:pPr>
            <w:r>
              <w:t>HFL Education</w:t>
            </w:r>
          </w:p>
        </w:tc>
      </w:tr>
      <w:tr w:rsidR="00847AAA" w14:paraId="14566A6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17DF" w14:textId="3AD97811" w:rsidR="00847AAA" w:rsidRDefault="00FB4F65" w:rsidP="00F54FCB">
            <w:pPr>
              <w:pStyle w:val="TableRow"/>
              <w:ind w:left="0" w:right="0"/>
            </w:pPr>
            <w:r>
              <w:t xml:space="preserve">Tables Stick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AC49" w14:textId="40D907A3" w:rsidR="00847AAA" w:rsidRDefault="00E71616" w:rsidP="00F54FCB">
            <w:pPr>
              <w:pStyle w:val="TableRowCentered"/>
              <w:ind w:left="0" w:right="0"/>
              <w:jc w:val="left"/>
            </w:pPr>
            <w:r>
              <w:t>Tables Stick</w:t>
            </w:r>
          </w:p>
        </w:tc>
      </w:tr>
      <w:tr w:rsidR="00847AAA" w14:paraId="43953E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2CEE" w14:textId="74A0E56A" w:rsidR="00847AAA" w:rsidRDefault="00833787" w:rsidP="00F54FCB">
            <w:pPr>
              <w:pStyle w:val="TableRow"/>
              <w:ind w:left="0" w:right="0"/>
            </w:pPr>
            <w:r>
              <w:t>Thrive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6C5E" w14:textId="47037259" w:rsidR="00847AAA" w:rsidRDefault="00E71616" w:rsidP="00F54FCB">
            <w:pPr>
              <w:pStyle w:val="TableRowCentered"/>
              <w:ind w:left="0" w:right="0"/>
              <w:jc w:val="left"/>
            </w:pPr>
            <w:r>
              <w:t xml:space="preserve">The Thrive Approach </w:t>
            </w:r>
          </w:p>
        </w:tc>
      </w:tr>
      <w:tr w:rsidR="00833787" w14:paraId="29268AC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C9561" w14:textId="6746CA0B" w:rsidR="00833787" w:rsidRDefault="00833787" w:rsidP="00F54FCB">
            <w:pPr>
              <w:pStyle w:val="TableRow"/>
              <w:ind w:left="0" w:right="0"/>
            </w:pPr>
            <w:r>
              <w:t>ELSA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B5B9D" w14:textId="216C505E" w:rsidR="00833787" w:rsidRDefault="002C5B37" w:rsidP="00F54FCB">
            <w:pPr>
              <w:pStyle w:val="TableRowCentered"/>
              <w:ind w:left="0" w:right="0"/>
              <w:jc w:val="left"/>
            </w:pPr>
            <w:r>
              <w:t>ELSA Support</w:t>
            </w:r>
          </w:p>
        </w:tc>
      </w:tr>
      <w:tr w:rsidR="007019CB" w14:paraId="4AD51AF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106C" w14:textId="7A0B776D" w:rsidR="007019CB" w:rsidRDefault="007019CB" w:rsidP="00F54FCB">
            <w:pPr>
              <w:pStyle w:val="TableRow"/>
              <w:ind w:left="0" w:right="0"/>
            </w:pPr>
            <w:r>
              <w:t>CUSP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930" w14:textId="094ADEA5" w:rsidR="007019CB" w:rsidRDefault="007019CB" w:rsidP="00F54FCB">
            <w:pPr>
              <w:pStyle w:val="TableRowCentered"/>
              <w:ind w:left="0" w:right="0"/>
              <w:jc w:val="left"/>
            </w:pPr>
            <w:r>
              <w:t xml:space="preserve">Unity Schools Partnership </w:t>
            </w:r>
          </w:p>
        </w:tc>
      </w:tr>
      <w:tr w:rsidR="00E71616" w14:paraId="64D0E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0C2A" w14:textId="7EF18304" w:rsidR="00E71616" w:rsidRDefault="00E71616" w:rsidP="00F54FCB">
            <w:pPr>
              <w:pStyle w:val="TableRow"/>
              <w:ind w:left="0" w:right="0"/>
            </w:pPr>
            <w:r>
              <w:t>Trauma Perceived Practice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744A" w14:textId="1389485A" w:rsidR="00E71616" w:rsidRDefault="00E71616" w:rsidP="00F54FCB">
            <w:pPr>
              <w:pStyle w:val="TableRowCentered"/>
              <w:ind w:left="0" w:right="0"/>
              <w:jc w:val="left"/>
            </w:pPr>
            <w:r>
              <w:t>Essex County Council</w:t>
            </w:r>
          </w:p>
        </w:tc>
      </w:tr>
    </w:tbl>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981C5A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r w:rsidR="006C2CCB">
              <w:rPr>
                <w:b/>
                <w:bCs/>
                <w:color w:val="000000"/>
                <w:szCs w:val="28"/>
              </w:rPr>
              <w:t>?</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27FE" w14:textId="77777777" w:rsidR="00FA6ACD" w:rsidRDefault="00FA6ACD">
      <w:pPr>
        <w:spacing w:after="0" w:line="240" w:lineRule="auto"/>
      </w:pPr>
      <w:r>
        <w:separator/>
      </w:r>
    </w:p>
  </w:endnote>
  <w:endnote w:type="continuationSeparator" w:id="0">
    <w:p w14:paraId="1E29A946" w14:textId="77777777" w:rsidR="00FA6ACD" w:rsidRDefault="00FA6ACD">
      <w:pPr>
        <w:spacing w:after="0" w:line="240" w:lineRule="auto"/>
      </w:pPr>
      <w:r>
        <w:continuationSeparator/>
      </w:r>
    </w:p>
  </w:endnote>
  <w:endnote w:type="continuationNotice" w:id="1">
    <w:p w14:paraId="6DDA388F" w14:textId="77777777" w:rsidR="00FA6ACD" w:rsidRDefault="00FA6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E3FA" w14:textId="77777777" w:rsidR="00FA6ACD" w:rsidRDefault="00FA6ACD">
      <w:pPr>
        <w:spacing w:after="0" w:line="240" w:lineRule="auto"/>
      </w:pPr>
      <w:r>
        <w:separator/>
      </w:r>
    </w:p>
  </w:footnote>
  <w:footnote w:type="continuationSeparator" w:id="0">
    <w:p w14:paraId="0FB5D4BA" w14:textId="77777777" w:rsidR="00FA6ACD" w:rsidRDefault="00FA6ACD">
      <w:pPr>
        <w:spacing w:after="0" w:line="240" w:lineRule="auto"/>
      </w:pPr>
      <w:r>
        <w:continuationSeparator/>
      </w:r>
    </w:p>
  </w:footnote>
  <w:footnote w:type="continuationNotice" w:id="1">
    <w:p w14:paraId="402CFEC7" w14:textId="77777777" w:rsidR="00FA6ACD" w:rsidRDefault="00FA6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4777A3"/>
    <w:multiLevelType w:val="hybridMultilevel"/>
    <w:tmpl w:val="DFFC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856AB"/>
    <w:multiLevelType w:val="hybridMultilevel"/>
    <w:tmpl w:val="450A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3B581D"/>
    <w:multiLevelType w:val="hybridMultilevel"/>
    <w:tmpl w:val="3BA4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B611BBC"/>
    <w:multiLevelType w:val="hybridMultilevel"/>
    <w:tmpl w:val="596A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9"/>
  </w:num>
  <w:num w:numId="7">
    <w:abstractNumId w:val="15"/>
  </w:num>
  <w:num w:numId="8">
    <w:abstractNumId w:val="19"/>
  </w:num>
  <w:num w:numId="9">
    <w:abstractNumId w:val="17"/>
  </w:num>
  <w:num w:numId="10">
    <w:abstractNumId w:val="16"/>
  </w:num>
  <w:num w:numId="11">
    <w:abstractNumId w:val="5"/>
  </w:num>
  <w:num w:numId="12">
    <w:abstractNumId w:val="18"/>
  </w:num>
  <w:num w:numId="13">
    <w:abstractNumId w:val="13"/>
  </w:num>
  <w:num w:numId="14">
    <w:abstractNumId w:val="10"/>
  </w:num>
  <w:num w:numId="15">
    <w:abstractNumId w:val="3"/>
  </w:num>
  <w:num w:numId="16">
    <w:abstractNumId w:val="2"/>
  </w:num>
  <w:num w:numId="17">
    <w:abstractNumId w:val="11"/>
  </w:num>
  <w:num w:numId="18">
    <w:abstractNumId w:val="1"/>
  </w:num>
  <w:num w:numId="19">
    <w:abstractNumId w:val="2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63D4"/>
    <w:rsid w:val="00007067"/>
    <w:rsid w:val="00012895"/>
    <w:rsid w:val="0001586A"/>
    <w:rsid w:val="00020E84"/>
    <w:rsid w:val="000213A8"/>
    <w:rsid w:val="00021886"/>
    <w:rsid w:val="00023729"/>
    <w:rsid w:val="000243B4"/>
    <w:rsid w:val="0002530E"/>
    <w:rsid w:val="0002710D"/>
    <w:rsid w:val="00031EA0"/>
    <w:rsid w:val="00033448"/>
    <w:rsid w:val="00036678"/>
    <w:rsid w:val="00036EB3"/>
    <w:rsid w:val="000452EB"/>
    <w:rsid w:val="00045603"/>
    <w:rsid w:val="000463AE"/>
    <w:rsid w:val="000477E5"/>
    <w:rsid w:val="000507A3"/>
    <w:rsid w:val="00050F7D"/>
    <w:rsid w:val="000513DC"/>
    <w:rsid w:val="00056C80"/>
    <w:rsid w:val="00060A62"/>
    <w:rsid w:val="00064366"/>
    <w:rsid w:val="0006570D"/>
    <w:rsid w:val="00066B73"/>
    <w:rsid w:val="00071481"/>
    <w:rsid w:val="00071D77"/>
    <w:rsid w:val="00075FAE"/>
    <w:rsid w:val="00082F38"/>
    <w:rsid w:val="000837DB"/>
    <w:rsid w:val="0008384B"/>
    <w:rsid w:val="0009005C"/>
    <w:rsid w:val="00090642"/>
    <w:rsid w:val="00090977"/>
    <w:rsid w:val="000929EC"/>
    <w:rsid w:val="00092F36"/>
    <w:rsid w:val="00093CDE"/>
    <w:rsid w:val="00096DD2"/>
    <w:rsid w:val="00097574"/>
    <w:rsid w:val="000A5C58"/>
    <w:rsid w:val="000A6379"/>
    <w:rsid w:val="000B0D49"/>
    <w:rsid w:val="000B203E"/>
    <w:rsid w:val="000B2348"/>
    <w:rsid w:val="000B32B9"/>
    <w:rsid w:val="000D22B0"/>
    <w:rsid w:val="000D318D"/>
    <w:rsid w:val="000D35C9"/>
    <w:rsid w:val="000D3739"/>
    <w:rsid w:val="000D520C"/>
    <w:rsid w:val="000D6596"/>
    <w:rsid w:val="000D6779"/>
    <w:rsid w:val="000E1FF1"/>
    <w:rsid w:val="000E320B"/>
    <w:rsid w:val="000E6909"/>
    <w:rsid w:val="000E6DF0"/>
    <w:rsid w:val="000E737C"/>
    <w:rsid w:val="0010171E"/>
    <w:rsid w:val="001037CB"/>
    <w:rsid w:val="0010629E"/>
    <w:rsid w:val="00107C78"/>
    <w:rsid w:val="00110746"/>
    <w:rsid w:val="00114288"/>
    <w:rsid w:val="00115538"/>
    <w:rsid w:val="00116802"/>
    <w:rsid w:val="00116FA8"/>
    <w:rsid w:val="001172CB"/>
    <w:rsid w:val="00120AB1"/>
    <w:rsid w:val="00122172"/>
    <w:rsid w:val="00123A7F"/>
    <w:rsid w:val="0012616B"/>
    <w:rsid w:val="001278D0"/>
    <w:rsid w:val="00127F72"/>
    <w:rsid w:val="0013690A"/>
    <w:rsid w:val="00140646"/>
    <w:rsid w:val="00140A74"/>
    <w:rsid w:val="00142FD3"/>
    <w:rsid w:val="001434DC"/>
    <w:rsid w:val="0014409B"/>
    <w:rsid w:val="00147A4B"/>
    <w:rsid w:val="00152554"/>
    <w:rsid w:val="00155944"/>
    <w:rsid w:val="001559D7"/>
    <w:rsid w:val="0016140F"/>
    <w:rsid w:val="001621CC"/>
    <w:rsid w:val="00164B67"/>
    <w:rsid w:val="0016523C"/>
    <w:rsid w:val="001671ED"/>
    <w:rsid w:val="00170051"/>
    <w:rsid w:val="00170714"/>
    <w:rsid w:val="00171D79"/>
    <w:rsid w:val="0017264D"/>
    <w:rsid w:val="001727FA"/>
    <w:rsid w:val="00172B0F"/>
    <w:rsid w:val="00173A7A"/>
    <w:rsid w:val="00173D4C"/>
    <w:rsid w:val="001754F0"/>
    <w:rsid w:val="001759B6"/>
    <w:rsid w:val="001761E3"/>
    <w:rsid w:val="00177D0E"/>
    <w:rsid w:val="00181373"/>
    <w:rsid w:val="00181A7E"/>
    <w:rsid w:val="00182FD8"/>
    <w:rsid w:val="00183218"/>
    <w:rsid w:val="00184079"/>
    <w:rsid w:val="00185018"/>
    <w:rsid w:val="00185988"/>
    <w:rsid w:val="00186666"/>
    <w:rsid w:val="001873B6"/>
    <w:rsid w:val="001901E6"/>
    <w:rsid w:val="00191305"/>
    <w:rsid w:val="00193880"/>
    <w:rsid w:val="00194395"/>
    <w:rsid w:val="001948FB"/>
    <w:rsid w:val="00195B55"/>
    <w:rsid w:val="001A08F2"/>
    <w:rsid w:val="001A2FE8"/>
    <w:rsid w:val="001A33AC"/>
    <w:rsid w:val="001A420D"/>
    <w:rsid w:val="001B0CB9"/>
    <w:rsid w:val="001B6F35"/>
    <w:rsid w:val="001C17D5"/>
    <w:rsid w:val="001C1C51"/>
    <w:rsid w:val="001C358F"/>
    <w:rsid w:val="001C6D98"/>
    <w:rsid w:val="001D027E"/>
    <w:rsid w:val="001D4FC9"/>
    <w:rsid w:val="001D783B"/>
    <w:rsid w:val="001E0B7C"/>
    <w:rsid w:val="001E0ECA"/>
    <w:rsid w:val="001E206F"/>
    <w:rsid w:val="001E5750"/>
    <w:rsid w:val="001E66BA"/>
    <w:rsid w:val="001E7739"/>
    <w:rsid w:val="001F3DB4"/>
    <w:rsid w:val="001F6947"/>
    <w:rsid w:val="001F7564"/>
    <w:rsid w:val="00201791"/>
    <w:rsid w:val="00203DB9"/>
    <w:rsid w:val="00204F40"/>
    <w:rsid w:val="002051F9"/>
    <w:rsid w:val="00205DEF"/>
    <w:rsid w:val="00206A3D"/>
    <w:rsid w:val="002112C3"/>
    <w:rsid w:val="002131E5"/>
    <w:rsid w:val="0021695F"/>
    <w:rsid w:val="00216C8A"/>
    <w:rsid w:val="00226317"/>
    <w:rsid w:val="00231539"/>
    <w:rsid w:val="00234166"/>
    <w:rsid w:val="00242093"/>
    <w:rsid w:val="00243F22"/>
    <w:rsid w:val="0024715B"/>
    <w:rsid w:val="00250765"/>
    <w:rsid w:val="002521A0"/>
    <w:rsid w:val="002523E3"/>
    <w:rsid w:val="00252AD6"/>
    <w:rsid w:val="0025309A"/>
    <w:rsid w:val="002542CE"/>
    <w:rsid w:val="00257A4E"/>
    <w:rsid w:val="00260151"/>
    <w:rsid w:val="00261BED"/>
    <w:rsid w:val="002626A3"/>
    <w:rsid w:val="0026393D"/>
    <w:rsid w:val="00266FA5"/>
    <w:rsid w:val="00276520"/>
    <w:rsid w:val="00276FBA"/>
    <w:rsid w:val="00277665"/>
    <w:rsid w:val="00280697"/>
    <w:rsid w:val="002837AE"/>
    <w:rsid w:val="00287D28"/>
    <w:rsid w:val="00287E5E"/>
    <w:rsid w:val="00287FA8"/>
    <w:rsid w:val="002907A9"/>
    <w:rsid w:val="002920F4"/>
    <w:rsid w:val="00293D22"/>
    <w:rsid w:val="002940F3"/>
    <w:rsid w:val="00295842"/>
    <w:rsid w:val="002A1BA8"/>
    <w:rsid w:val="002A5F92"/>
    <w:rsid w:val="002A6B4F"/>
    <w:rsid w:val="002B0D91"/>
    <w:rsid w:val="002B1443"/>
    <w:rsid w:val="002B2FE2"/>
    <w:rsid w:val="002B3574"/>
    <w:rsid w:val="002B6B74"/>
    <w:rsid w:val="002C35E2"/>
    <w:rsid w:val="002C3B3D"/>
    <w:rsid w:val="002C5B37"/>
    <w:rsid w:val="002C6AE7"/>
    <w:rsid w:val="002D150A"/>
    <w:rsid w:val="002D1CAE"/>
    <w:rsid w:val="002D2BD9"/>
    <w:rsid w:val="002D2D4B"/>
    <w:rsid w:val="002D3805"/>
    <w:rsid w:val="002E66AE"/>
    <w:rsid w:val="002E7763"/>
    <w:rsid w:val="002F4C6F"/>
    <w:rsid w:val="002F5011"/>
    <w:rsid w:val="002F5842"/>
    <w:rsid w:val="002F7847"/>
    <w:rsid w:val="00300188"/>
    <w:rsid w:val="00305F1F"/>
    <w:rsid w:val="00306CB7"/>
    <w:rsid w:val="00307ABF"/>
    <w:rsid w:val="003111F5"/>
    <w:rsid w:val="00317664"/>
    <w:rsid w:val="00336200"/>
    <w:rsid w:val="0033737C"/>
    <w:rsid w:val="00337418"/>
    <w:rsid w:val="00351D83"/>
    <w:rsid w:val="00352197"/>
    <w:rsid w:val="003522F3"/>
    <w:rsid w:val="00353E46"/>
    <w:rsid w:val="003576C4"/>
    <w:rsid w:val="00360B8C"/>
    <w:rsid w:val="0036277A"/>
    <w:rsid w:val="00366AB0"/>
    <w:rsid w:val="003700E8"/>
    <w:rsid w:val="00373DD1"/>
    <w:rsid w:val="0037437C"/>
    <w:rsid w:val="00375A94"/>
    <w:rsid w:val="00381127"/>
    <w:rsid w:val="0038146B"/>
    <w:rsid w:val="0038340F"/>
    <w:rsid w:val="00383676"/>
    <w:rsid w:val="00384457"/>
    <w:rsid w:val="003848D4"/>
    <w:rsid w:val="00384F24"/>
    <w:rsid w:val="003851BC"/>
    <w:rsid w:val="00394B3A"/>
    <w:rsid w:val="003A2147"/>
    <w:rsid w:val="003A32B2"/>
    <w:rsid w:val="003A47DD"/>
    <w:rsid w:val="003A5F67"/>
    <w:rsid w:val="003A634F"/>
    <w:rsid w:val="003B14C1"/>
    <w:rsid w:val="003B2884"/>
    <w:rsid w:val="003B588A"/>
    <w:rsid w:val="003B621D"/>
    <w:rsid w:val="003C17E6"/>
    <w:rsid w:val="003C4388"/>
    <w:rsid w:val="003C4C27"/>
    <w:rsid w:val="003C6747"/>
    <w:rsid w:val="003C7F7B"/>
    <w:rsid w:val="003D0CD6"/>
    <w:rsid w:val="003D2EAA"/>
    <w:rsid w:val="003D448C"/>
    <w:rsid w:val="003D6524"/>
    <w:rsid w:val="003D7C70"/>
    <w:rsid w:val="003E054C"/>
    <w:rsid w:val="003E1EC5"/>
    <w:rsid w:val="003E27A0"/>
    <w:rsid w:val="003E2D1D"/>
    <w:rsid w:val="003E3872"/>
    <w:rsid w:val="003E4216"/>
    <w:rsid w:val="003E5770"/>
    <w:rsid w:val="003F0D0F"/>
    <w:rsid w:val="003F25B5"/>
    <w:rsid w:val="003F29E5"/>
    <w:rsid w:val="003F2E97"/>
    <w:rsid w:val="003F578B"/>
    <w:rsid w:val="004015ED"/>
    <w:rsid w:val="0040183A"/>
    <w:rsid w:val="00403617"/>
    <w:rsid w:val="004037B7"/>
    <w:rsid w:val="004044AA"/>
    <w:rsid w:val="004044C8"/>
    <w:rsid w:val="00404F3F"/>
    <w:rsid w:val="00406352"/>
    <w:rsid w:val="00410B5D"/>
    <w:rsid w:val="00411BFE"/>
    <w:rsid w:val="00413BEC"/>
    <w:rsid w:val="0041460B"/>
    <w:rsid w:val="0042265E"/>
    <w:rsid w:val="00424ED7"/>
    <w:rsid w:val="00425258"/>
    <w:rsid w:val="00426217"/>
    <w:rsid w:val="00431A80"/>
    <w:rsid w:val="00433641"/>
    <w:rsid w:val="00434D96"/>
    <w:rsid w:val="00435A89"/>
    <w:rsid w:val="004412CE"/>
    <w:rsid w:val="00442F70"/>
    <w:rsid w:val="00450BE5"/>
    <w:rsid w:val="0045164B"/>
    <w:rsid w:val="00451BD7"/>
    <w:rsid w:val="00452267"/>
    <w:rsid w:val="00453307"/>
    <w:rsid w:val="00454EE1"/>
    <w:rsid w:val="00455A02"/>
    <w:rsid w:val="00457E36"/>
    <w:rsid w:val="00460BD3"/>
    <w:rsid w:val="00462F8F"/>
    <w:rsid w:val="00464BE8"/>
    <w:rsid w:val="00465ABA"/>
    <w:rsid w:val="004708F2"/>
    <w:rsid w:val="004724DE"/>
    <w:rsid w:val="00474907"/>
    <w:rsid w:val="004770FE"/>
    <w:rsid w:val="0048157F"/>
    <w:rsid w:val="00481D56"/>
    <w:rsid w:val="00490408"/>
    <w:rsid w:val="00493004"/>
    <w:rsid w:val="004934BA"/>
    <w:rsid w:val="00496B49"/>
    <w:rsid w:val="004A0FBA"/>
    <w:rsid w:val="004A10BC"/>
    <w:rsid w:val="004A42BD"/>
    <w:rsid w:val="004A4C45"/>
    <w:rsid w:val="004A55C4"/>
    <w:rsid w:val="004A59CD"/>
    <w:rsid w:val="004B0485"/>
    <w:rsid w:val="004B0ED7"/>
    <w:rsid w:val="004B1F58"/>
    <w:rsid w:val="004B37B1"/>
    <w:rsid w:val="004B428E"/>
    <w:rsid w:val="004B4D0A"/>
    <w:rsid w:val="004B4D37"/>
    <w:rsid w:val="004B6DDC"/>
    <w:rsid w:val="004C15AB"/>
    <w:rsid w:val="004C42F0"/>
    <w:rsid w:val="004C7AA4"/>
    <w:rsid w:val="004D3966"/>
    <w:rsid w:val="004D4BC2"/>
    <w:rsid w:val="004D50C8"/>
    <w:rsid w:val="004D6B72"/>
    <w:rsid w:val="004D77F5"/>
    <w:rsid w:val="004E1D73"/>
    <w:rsid w:val="004E5450"/>
    <w:rsid w:val="004E57C3"/>
    <w:rsid w:val="004E7158"/>
    <w:rsid w:val="004E72DD"/>
    <w:rsid w:val="004F0E4C"/>
    <w:rsid w:val="004F0FD9"/>
    <w:rsid w:val="004F22CD"/>
    <w:rsid w:val="005009F8"/>
    <w:rsid w:val="00502217"/>
    <w:rsid w:val="005025FB"/>
    <w:rsid w:val="00503462"/>
    <w:rsid w:val="005034B8"/>
    <w:rsid w:val="00503D92"/>
    <w:rsid w:val="0051286E"/>
    <w:rsid w:val="00516021"/>
    <w:rsid w:val="00516457"/>
    <w:rsid w:val="00516641"/>
    <w:rsid w:val="0051729F"/>
    <w:rsid w:val="00517672"/>
    <w:rsid w:val="005201C6"/>
    <w:rsid w:val="00520A0C"/>
    <w:rsid w:val="005259D2"/>
    <w:rsid w:val="005261EE"/>
    <w:rsid w:val="00530E37"/>
    <w:rsid w:val="00535946"/>
    <w:rsid w:val="005368BB"/>
    <w:rsid w:val="005452CF"/>
    <w:rsid w:val="005464A1"/>
    <w:rsid w:val="00546F12"/>
    <w:rsid w:val="00550853"/>
    <w:rsid w:val="0055167E"/>
    <w:rsid w:val="0055339C"/>
    <w:rsid w:val="005542CC"/>
    <w:rsid w:val="005559E1"/>
    <w:rsid w:val="00560424"/>
    <w:rsid w:val="00561EB6"/>
    <w:rsid w:val="00562B3C"/>
    <w:rsid w:val="00563893"/>
    <w:rsid w:val="005646FA"/>
    <w:rsid w:val="00564E40"/>
    <w:rsid w:val="005702D2"/>
    <w:rsid w:val="00573E1D"/>
    <w:rsid w:val="005750E2"/>
    <w:rsid w:val="00575D0F"/>
    <w:rsid w:val="0057676C"/>
    <w:rsid w:val="0058194F"/>
    <w:rsid w:val="0058313F"/>
    <w:rsid w:val="00583911"/>
    <w:rsid w:val="00585859"/>
    <w:rsid w:val="00586FBC"/>
    <w:rsid w:val="005879C9"/>
    <w:rsid w:val="00594588"/>
    <w:rsid w:val="005945B6"/>
    <w:rsid w:val="00594CAD"/>
    <w:rsid w:val="005A1641"/>
    <w:rsid w:val="005A19B9"/>
    <w:rsid w:val="005A1D0B"/>
    <w:rsid w:val="005A3C6B"/>
    <w:rsid w:val="005B0801"/>
    <w:rsid w:val="005B1EA5"/>
    <w:rsid w:val="005B4AA5"/>
    <w:rsid w:val="005B5D89"/>
    <w:rsid w:val="005C0BBD"/>
    <w:rsid w:val="005C54A0"/>
    <w:rsid w:val="005D0D15"/>
    <w:rsid w:val="005D4A64"/>
    <w:rsid w:val="005D5594"/>
    <w:rsid w:val="005D5EA4"/>
    <w:rsid w:val="005D7176"/>
    <w:rsid w:val="005E18CB"/>
    <w:rsid w:val="005E1F24"/>
    <w:rsid w:val="005E3667"/>
    <w:rsid w:val="005E73F1"/>
    <w:rsid w:val="005F07EF"/>
    <w:rsid w:val="005F16B6"/>
    <w:rsid w:val="005F2600"/>
    <w:rsid w:val="005F5224"/>
    <w:rsid w:val="005F7AA1"/>
    <w:rsid w:val="005F7D72"/>
    <w:rsid w:val="00600B2E"/>
    <w:rsid w:val="00600CC7"/>
    <w:rsid w:val="00601122"/>
    <w:rsid w:val="0060141B"/>
    <w:rsid w:val="00603E63"/>
    <w:rsid w:val="00605751"/>
    <w:rsid w:val="00606521"/>
    <w:rsid w:val="00607CEB"/>
    <w:rsid w:val="00613299"/>
    <w:rsid w:val="00616B46"/>
    <w:rsid w:val="0061762D"/>
    <w:rsid w:val="00620EEE"/>
    <w:rsid w:val="00624784"/>
    <w:rsid w:val="00634238"/>
    <w:rsid w:val="00635FBC"/>
    <w:rsid w:val="00636EB5"/>
    <w:rsid w:val="00637728"/>
    <w:rsid w:val="0064113A"/>
    <w:rsid w:val="0064167B"/>
    <w:rsid w:val="0064373F"/>
    <w:rsid w:val="00643F96"/>
    <w:rsid w:val="00644002"/>
    <w:rsid w:val="0064526B"/>
    <w:rsid w:val="006458B1"/>
    <w:rsid w:val="00645982"/>
    <w:rsid w:val="00650529"/>
    <w:rsid w:val="00650BAB"/>
    <w:rsid w:val="00651737"/>
    <w:rsid w:val="0065375E"/>
    <w:rsid w:val="00654E31"/>
    <w:rsid w:val="00656A8F"/>
    <w:rsid w:val="00661FDB"/>
    <w:rsid w:val="006652DD"/>
    <w:rsid w:val="006671BF"/>
    <w:rsid w:val="00671AEB"/>
    <w:rsid w:val="00671E93"/>
    <w:rsid w:val="00672A7D"/>
    <w:rsid w:val="00673462"/>
    <w:rsid w:val="00680574"/>
    <w:rsid w:val="00680D74"/>
    <w:rsid w:val="00681416"/>
    <w:rsid w:val="00685B1C"/>
    <w:rsid w:val="00695021"/>
    <w:rsid w:val="00696283"/>
    <w:rsid w:val="006A06F5"/>
    <w:rsid w:val="006A0ED2"/>
    <w:rsid w:val="006B0A73"/>
    <w:rsid w:val="006B5A6B"/>
    <w:rsid w:val="006B6273"/>
    <w:rsid w:val="006B67C9"/>
    <w:rsid w:val="006B721F"/>
    <w:rsid w:val="006C0F82"/>
    <w:rsid w:val="006C25E8"/>
    <w:rsid w:val="006C2CCB"/>
    <w:rsid w:val="006C332E"/>
    <w:rsid w:val="006C5901"/>
    <w:rsid w:val="006C5BCF"/>
    <w:rsid w:val="006C73BC"/>
    <w:rsid w:val="006D00F1"/>
    <w:rsid w:val="006D377A"/>
    <w:rsid w:val="006D4222"/>
    <w:rsid w:val="006D6372"/>
    <w:rsid w:val="006D68C4"/>
    <w:rsid w:val="006D6E5C"/>
    <w:rsid w:val="006E02AF"/>
    <w:rsid w:val="006E0786"/>
    <w:rsid w:val="006E6B4A"/>
    <w:rsid w:val="006E7449"/>
    <w:rsid w:val="006E7FB1"/>
    <w:rsid w:val="006F2604"/>
    <w:rsid w:val="006F29C8"/>
    <w:rsid w:val="006F5319"/>
    <w:rsid w:val="006F55FD"/>
    <w:rsid w:val="006F5D21"/>
    <w:rsid w:val="007019CB"/>
    <w:rsid w:val="00701E1E"/>
    <w:rsid w:val="007061DA"/>
    <w:rsid w:val="00710773"/>
    <w:rsid w:val="007109F6"/>
    <w:rsid w:val="00711BE3"/>
    <w:rsid w:val="00715B13"/>
    <w:rsid w:val="00721B51"/>
    <w:rsid w:val="00722CB3"/>
    <w:rsid w:val="00724594"/>
    <w:rsid w:val="00724FA7"/>
    <w:rsid w:val="00725415"/>
    <w:rsid w:val="007262CC"/>
    <w:rsid w:val="00727505"/>
    <w:rsid w:val="007311A6"/>
    <w:rsid w:val="00731581"/>
    <w:rsid w:val="00732074"/>
    <w:rsid w:val="0073284F"/>
    <w:rsid w:val="0073481D"/>
    <w:rsid w:val="0073703B"/>
    <w:rsid w:val="00741B9E"/>
    <w:rsid w:val="00743DAC"/>
    <w:rsid w:val="00745371"/>
    <w:rsid w:val="007455B3"/>
    <w:rsid w:val="00745B49"/>
    <w:rsid w:val="00745E1B"/>
    <w:rsid w:val="007502CD"/>
    <w:rsid w:val="00751BF1"/>
    <w:rsid w:val="00752AE7"/>
    <w:rsid w:val="00752D3B"/>
    <w:rsid w:val="0075337B"/>
    <w:rsid w:val="00755CD4"/>
    <w:rsid w:val="00757F96"/>
    <w:rsid w:val="007610B5"/>
    <w:rsid w:val="00761675"/>
    <w:rsid w:val="007623CB"/>
    <w:rsid w:val="00762652"/>
    <w:rsid w:val="00764551"/>
    <w:rsid w:val="00764B66"/>
    <w:rsid w:val="0076556F"/>
    <w:rsid w:val="007677B8"/>
    <w:rsid w:val="00777A86"/>
    <w:rsid w:val="00780440"/>
    <w:rsid w:val="00781713"/>
    <w:rsid w:val="0078374B"/>
    <w:rsid w:val="00785285"/>
    <w:rsid w:val="0078529D"/>
    <w:rsid w:val="00785DCD"/>
    <w:rsid w:val="00785E77"/>
    <w:rsid w:val="0078720B"/>
    <w:rsid w:val="00787DC1"/>
    <w:rsid w:val="00791669"/>
    <w:rsid w:val="00794070"/>
    <w:rsid w:val="007957E2"/>
    <w:rsid w:val="007A0229"/>
    <w:rsid w:val="007A0855"/>
    <w:rsid w:val="007A399C"/>
    <w:rsid w:val="007A4313"/>
    <w:rsid w:val="007A63CA"/>
    <w:rsid w:val="007A713B"/>
    <w:rsid w:val="007A7DA0"/>
    <w:rsid w:val="007B64E5"/>
    <w:rsid w:val="007C2F04"/>
    <w:rsid w:val="007C3C9D"/>
    <w:rsid w:val="007F02A0"/>
    <w:rsid w:val="007F06E5"/>
    <w:rsid w:val="007F09FC"/>
    <w:rsid w:val="007F5B8B"/>
    <w:rsid w:val="007F63F3"/>
    <w:rsid w:val="00805BC0"/>
    <w:rsid w:val="00814FB9"/>
    <w:rsid w:val="008178F9"/>
    <w:rsid w:val="00817E9A"/>
    <w:rsid w:val="00820698"/>
    <w:rsid w:val="008256A3"/>
    <w:rsid w:val="00827786"/>
    <w:rsid w:val="00827BDA"/>
    <w:rsid w:val="00827EB4"/>
    <w:rsid w:val="00830D57"/>
    <w:rsid w:val="00831F00"/>
    <w:rsid w:val="00831FEE"/>
    <w:rsid w:val="00833787"/>
    <w:rsid w:val="008353B6"/>
    <w:rsid w:val="00835A81"/>
    <w:rsid w:val="00847AAA"/>
    <w:rsid w:val="00850CA0"/>
    <w:rsid w:val="00852452"/>
    <w:rsid w:val="00852A2F"/>
    <w:rsid w:val="008608EE"/>
    <w:rsid w:val="00860B07"/>
    <w:rsid w:val="008616F6"/>
    <w:rsid w:val="0086259C"/>
    <w:rsid w:val="00862EC6"/>
    <w:rsid w:val="008674ED"/>
    <w:rsid w:val="0087074C"/>
    <w:rsid w:val="00874913"/>
    <w:rsid w:val="008765E9"/>
    <w:rsid w:val="00883C34"/>
    <w:rsid w:val="00883F24"/>
    <w:rsid w:val="008842CD"/>
    <w:rsid w:val="00887754"/>
    <w:rsid w:val="0089197B"/>
    <w:rsid w:val="008954A1"/>
    <w:rsid w:val="00897E1F"/>
    <w:rsid w:val="008A3E8E"/>
    <w:rsid w:val="008B252C"/>
    <w:rsid w:val="008B2CB4"/>
    <w:rsid w:val="008B3D82"/>
    <w:rsid w:val="008B44B5"/>
    <w:rsid w:val="008B5503"/>
    <w:rsid w:val="008B6404"/>
    <w:rsid w:val="008B69E8"/>
    <w:rsid w:val="008C2C21"/>
    <w:rsid w:val="008C7DD3"/>
    <w:rsid w:val="008D054C"/>
    <w:rsid w:val="008D11AA"/>
    <w:rsid w:val="008D3629"/>
    <w:rsid w:val="008D5B56"/>
    <w:rsid w:val="008D6273"/>
    <w:rsid w:val="008E000B"/>
    <w:rsid w:val="008E1BC7"/>
    <w:rsid w:val="008E2926"/>
    <w:rsid w:val="008E2CBE"/>
    <w:rsid w:val="008E35C6"/>
    <w:rsid w:val="008E3F49"/>
    <w:rsid w:val="008E5D15"/>
    <w:rsid w:val="008E7429"/>
    <w:rsid w:val="008E78A9"/>
    <w:rsid w:val="008E7FBC"/>
    <w:rsid w:val="008F1E64"/>
    <w:rsid w:val="008F243B"/>
    <w:rsid w:val="008F4675"/>
    <w:rsid w:val="008F50FE"/>
    <w:rsid w:val="008F69CD"/>
    <w:rsid w:val="008F6E88"/>
    <w:rsid w:val="008F76EF"/>
    <w:rsid w:val="00901E60"/>
    <w:rsid w:val="00903722"/>
    <w:rsid w:val="00904A66"/>
    <w:rsid w:val="00905029"/>
    <w:rsid w:val="00914C4B"/>
    <w:rsid w:val="00916913"/>
    <w:rsid w:val="009170E2"/>
    <w:rsid w:val="00921A3A"/>
    <w:rsid w:val="0092287F"/>
    <w:rsid w:val="0092495B"/>
    <w:rsid w:val="0092660E"/>
    <w:rsid w:val="0093131A"/>
    <w:rsid w:val="00932BAE"/>
    <w:rsid w:val="00936519"/>
    <w:rsid w:val="009413AA"/>
    <w:rsid w:val="00941DA3"/>
    <w:rsid w:val="00941FBA"/>
    <w:rsid w:val="00942C0C"/>
    <w:rsid w:val="00951711"/>
    <w:rsid w:val="009539E3"/>
    <w:rsid w:val="00954083"/>
    <w:rsid w:val="00954A5E"/>
    <w:rsid w:val="009551B2"/>
    <w:rsid w:val="0096022C"/>
    <w:rsid w:val="009619B1"/>
    <w:rsid w:val="00964625"/>
    <w:rsid w:val="009649DF"/>
    <w:rsid w:val="00965B57"/>
    <w:rsid w:val="00975F38"/>
    <w:rsid w:val="00976AC7"/>
    <w:rsid w:val="00980937"/>
    <w:rsid w:val="00981C1D"/>
    <w:rsid w:val="00990521"/>
    <w:rsid w:val="0099109C"/>
    <w:rsid w:val="009936DB"/>
    <w:rsid w:val="00993856"/>
    <w:rsid w:val="00993CFC"/>
    <w:rsid w:val="00996061"/>
    <w:rsid w:val="009A1DC2"/>
    <w:rsid w:val="009A45D4"/>
    <w:rsid w:val="009A5EEA"/>
    <w:rsid w:val="009B0906"/>
    <w:rsid w:val="009B38F2"/>
    <w:rsid w:val="009B605C"/>
    <w:rsid w:val="009B6999"/>
    <w:rsid w:val="009B7433"/>
    <w:rsid w:val="009C0914"/>
    <w:rsid w:val="009C27E5"/>
    <w:rsid w:val="009C7102"/>
    <w:rsid w:val="009D24A1"/>
    <w:rsid w:val="009D3891"/>
    <w:rsid w:val="009D71E8"/>
    <w:rsid w:val="009E0CF5"/>
    <w:rsid w:val="009E104B"/>
    <w:rsid w:val="009E7DE4"/>
    <w:rsid w:val="009F272A"/>
    <w:rsid w:val="009F29A5"/>
    <w:rsid w:val="009F3BBD"/>
    <w:rsid w:val="009F6D13"/>
    <w:rsid w:val="00A022AB"/>
    <w:rsid w:val="00A063DD"/>
    <w:rsid w:val="00A112B5"/>
    <w:rsid w:val="00A14EEA"/>
    <w:rsid w:val="00A15732"/>
    <w:rsid w:val="00A2736E"/>
    <w:rsid w:val="00A27A1A"/>
    <w:rsid w:val="00A30D33"/>
    <w:rsid w:val="00A33636"/>
    <w:rsid w:val="00A40157"/>
    <w:rsid w:val="00A4015D"/>
    <w:rsid w:val="00A43140"/>
    <w:rsid w:val="00A44FBB"/>
    <w:rsid w:val="00A475B9"/>
    <w:rsid w:val="00A50104"/>
    <w:rsid w:val="00A522E0"/>
    <w:rsid w:val="00A52823"/>
    <w:rsid w:val="00A531E7"/>
    <w:rsid w:val="00A60E28"/>
    <w:rsid w:val="00A63579"/>
    <w:rsid w:val="00A63764"/>
    <w:rsid w:val="00A638AC"/>
    <w:rsid w:val="00A64475"/>
    <w:rsid w:val="00A727E5"/>
    <w:rsid w:val="00A748B5"/>
    <w:rsid w:val="00A74F00"/>
    <w:rsid w:val="00A7790B"/>
    <w:rsid w:val="00A7797A"/>
    <w:rsid w:val="00A80370"/>
    <w:rsid w:val="00A80A32"/>
    <w:rsid w:val="00A81948"/>
    <w:rsid w:val="00A82A98"/>
    <w:rsid w:val="00A82D16"/>
    <w:rsid w:val="00A852F2"/>
    <w:rsid w:val="00A8712A"/>
    <w:rsid w:val="00A9263E"/>
    <w:rsid w:val="00A95F75"/>
    <w:rsid w:val="00A968DA"/>
    <w:rsid w:val="00A96B83"/>
    <w:rsid w:val="00AA355B"/>
    <w:rsid w:val="00AA42C4"/>
    <w:rsid w:val="00AA42E5"/>
    <w:rsid w:val="00AA4E91"/>
    <w:rsid w:val="00AA763A"/>
    <w:rsid w:val="00AB19E2"/>
    <w:rsid w:val="00AB24FA"/>
    <w:rsid w:val="00AB5161"/>
    <w:rsid w:val="00AC241B"/>
    <w:rsid w:val="00AC59E6"/>
    <w:rsid w:val="00AC6576"/>
    <w:rsid w:val="00AD162B"/>
    <w:rsid w:val="00AD46FA"/>
    <w:rsid w:val="00AD7B5A"/>
    <w:rsid w:val="00AE229F"/>
    <w:rsid w:val="00AE6ADE"/>
    <w:rsid w:val="00AF0618"/>
    <w:rsid w:val="00AF5E20"/>
    <w:rsid w:val="00B002FA"/>
    <w:rsid w:val="00B00327"/>
    <w:rsid w:val="00B024B3"/>
    <w:rsid w:val="00B05B83"/>
    <w:rsid w:val="00B11DE8"/>
    <w:rsid w:val="00B14F42"/>
    <w:rsid w:val="00B179ED"/>
    <w:rsid w:val="00B20E18"/>
    <w:rsid w:val="00B21170"/>
    <w:rsid w:val="00B31448"/>
    <w:rsid w:val="00B3166A"/>
    <w:rsid w:val="00B331E1"/>
    <w:rsid w:val="00B40FC5"/>
    <w:rsid w:val="00B4532A"/>
    <w:rsid w:val="00B45AD0"/>
    <w:rsid w:val="00B478CE"/>
    <w:rsid w:val="00B47C66"/>
    <w:rsid w:val="00B52526"/>
    <w:rsid w:val="00B566B7"/>
    <w:rsid w:val="00B572C4"/>
    <w:rsid w:val="00B60858"/>
    <w:rsid w:val="00B60D69"/>
    <w:rsid w:val="00B6234E"/>
    <w:rsid w:val="00B66BB5"/>
    <w:rsid w:val="00B735BD"/>
    <w:rsid w:val="00B74D4E"/>
    <w:rsid w:val="00B80219"/>
    <w:rsid w:val="00B83781"/>
    <w:rsid w:val="00B87184"/>
    <w:rsid w:val="00B907B6"/>
    <w:rsid w:val="00B91453"/>
    <w:rsid w:val="00B93B0E"/>
    <w:rsid w:val="00B94D47"/>
    <w:rsid w:val="00BA19A5"/>
    <w:rsid w:val="00BA493C"/>
    <w:rsid w:val="00BA5071"/>
    <w:rsid w:val="00BA7097"/>
    <w:rsid w:val="00BB2907"/>
    <w:rsid w:val="00BB34CE"/>
    <w:rsid w:val="00BB6902"/>
    <w:rsid w:val="00BB7510"/>
    <w:rsid w:val="00BC078B"/>
    <w:rsid w:val="00BC3A7D"/>
    <w:rsid w:val="00BC67F6"/>
    <w:rsid w:val="00BD2004"/>
    <w:rsid w:val="00BD297B"/>
    <w:rsid w:val="00BD4B12"/>
    <w:rsid w:val="00BD700D"/>
    <w:rsid w:val="00BE2F92"/>
    <w:rsid w:val="00BE44AC"/>
    <w:rsid w:val="00BF0D5F"/>
    <w:rsid w:val="00BF30FC"/>
    <w:rsid w:val="00BF4198"/>
    <w:rsid w:val="00BF594E"/>
    <w:rsid w:val="00BF59B3"/>
    <w:rsid w:val="00BF6F95"/>
    <w:rsid w:val="00C00EAE"/>
    <w:rsid w:val="00C078EA"/>
    <w:rsid w:val="00C10703"/>
    <w:rsid w:val="00C10BCF"/>
    <w:rsid w:val="00C11EB4"/>
    <w:rsid w:val="00C12746"/>
    <w:rsid w:val="00C23C11"/>
    <w:rsid w:val="00C2441E"/>
    <w:rsid w:val="00C25827"/>
    <w:rsid w:val="00C31636"/>
    <w:rsid w:val="00C31BB8"/>
    <w:rsid w:val="00C31D51"/>
    <w:rsid w:val="00C373EA"/>
    <w:rsid w:val="00C378E0"/>
    <w:rsid w:val="00C42F97"/>
    <w:rsid w:val="00C43CA3"/>
    <w:rsid w:val="00C43D9D"/>
    <w:rsid w:val="00C43EA4"/>
    <w:rsid w:val="00C45F59"/>
    <w:rsid w:val="00C50040"/>
    <w:rsid w:val="00C52DFF"/>
    <w:rsid w:val="00C574E1"/>
    <w:rsid w:val="00C605EF"/>
    <w:rsid w:val="00C621C1"/>
    <w:rsid w:val="00C62989"/>
    <w:rsid w:val="00C65CBB"/>
    <w:rsid w:val="00C7204F"/>
    <w:rsid w:val="00C74684"/>
    <w:rsid w:val="00C77FEF"/>
    <w:rsid w:val="00C80F37"/>
    <w:rsid w:val="00C83659"/>
    <w:rsid w:val="00C839C1"/>
    <w:rsid w:val="00C93E83"/>
    <w:rsid w:val="00C962F6"/>
    <w:rsid w:val="00C96D0D"/>
    <w:rsid w:val="00C96E4D"/>
    <w:rsid w:val="00C97A7F"/>
    <w:rsid w:val="00CA39D1"/>
    <w:rsid w:val="00CA4421"/>
    <w:rsid w:val="00CA5363"/>
    <w:rsid w:val="00CA5385"/>
    <w:rsid w:val="00CA5977"/>
    <w:rsid w:val="00CA7D07"/>
    <w:rsid w:val="00CB16DC"/>
    <w:rsid w:val="00CB24A4"/>
    <w:rsid w:val="00CB5B17"/>
    <w:rsid w:val="00CB6AA0"/>
    <w:rsid w:val="00CC4443"/>
    <w:rsid w:val="00CC52EB"/>
    <w:rsid w:val="00CC5CAF"/>
    <w:rsid w:val="00CD6862"/>
    <w:rsid w:val="00CE3764"/>
    <w:rsid w:val="00CE7E1B"/>
    <w:rsid w:val="00CF0018"/>
    <w:rsid w:val="00CF7FC1"/>
    <w:rsid w:val="00D031DF"/>
    <w:rsid w:val="00D04F25"/>
    <w:rsid w:val="00D06874"/>
    <w:rsid w:val="00D06AEA"/>
    <w:rsid w:val="00D07530"/>
    <w:rsid w:val="00D07FCB"/>
    <w:rsid w:val="00D1436B"/>
    <w:rsid w:val="00D173F7"/>
    <w:rsid w:val="00D17A5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6763C"/>
    <w:rsid w:val="00D70867"/>
    <w:rsid w:val="00D71B8A"/>
    <w:rsid w:val="00D72C08"/>
    <w:rsid w:val="00D75247"/>
    <w:rsid w:val="00D80BD1"/>
    <w:rsid w:val="00D81325"/>
    <w:rsid w:val="00D875ED"/>
    <w:rsid w:val="00D877D0"/>
    <w:rsid w:val="00D87CDA"/>
    <w:rsid w:val="00D90013"/>
    <w:rsid w:val="00D91B9C"/>
    <w:rsid w:val="00D92C1B"/>
    <w:rsid w:val="00D94CC7"/>
    <w:rsid w:val="00D94EEB"/>
    <w:rsid w:val="00D97901"/>
    <w:rsid w:val="00DA1AF4"/>
    <w:rsid w:val="00DA3A62"/>
    <w:rsid w:val="00DA422D"/>
    <w:rsid w:val="00DA4805"/>
    <w:rsid w:val="00DA6404"/>
    <w:rsid w:val="00DB0C60"/>
    <w:rsid w:val="00DB2C1B"/>
    <w:rsid w:val="00DB747C"/>
    <w:rsid w:val="00DC0B20"/>
    <w:rsid w:val="00DC34C0"/>
    <w:rsid w:val="00DC641A"/>
    <w:rsid w:val="00DC7D17"/>
    <w:rsid w:val="00DD21A1"/>
    <w:rsid w:val="00DD68FB"/>
    <w:rsid w:val="00DD6B7D"/>
    <w:rsid w:val="00DD6E14"/>
    <w:rsid w:val="00DE0CF3"/>
    <w:rsid w:val="00DE15AC"/>
    <w:rsid w:val="00DE5FD5"/>
    <w:rsid w:val="00DE7548"/>
    <w:rsid w:val="00DF2015"/>
    <w:rsid w:val="00DF54EE"/>
    <w:rsid w:val="00DF5E42"/>
    <w:rsid w:val="00DF60BE"/>
    <w:rsid w:val="00E034F2"/>
    <w:rsid w:val="00E0432A"/>
    <w:rsid w:val="00E061EC"/>
    <w:rsid w:val="00E0696B"/>
    <w:rsid w:val="00E10E81"/>
    <w:rsid w:val="00E13E51"/>
    <w:rsid w:val="00E21E86"/>
    <w:rsid w:val="00E21F56"/>
    <w:rsid w:val="00E3014F"/>
    <w:rsid w:val="00E303A7"/>
    <w:rsid w:val="00E36DFC"/>
    <w:rsid w:val="00E4286E"/>
    <w:rsid w:val="00E43EAD"/>
    <w:rsid w:val="00E463A1"/>
    <w:rsid w:val="00E62DCB"/>
    <w:rsid w:val="00E651DD"/>
    <w:rsid w:val="00E66558"/>
    <w:rsid w:val="00E70D81"/>
    <w:rsid w:val="00E71616"/>
    <w:rsid w:val="00E726A6"/>
    <w:rsid w:val="00E73418"/>
    <w:rsid w:val="00E741E5"/>
    <w:rsid w:val="00E80477"/>
    <w:rsid w:val="00E805CF"/>
    <w:rsid w:val="00E8109E"/>
    <w:rsid w:val="00E84086"/>
    <w:rsid w:val="00E84C9E"/>
    <w:rsid w:val="00E85C23"/>
    <w:rsid w:val="00E86704"/>
    <w:rsid w:val="00E86F05"/>
    <w:rsid w:val="00E951D6"/>
    <w:rsid w:val="00EA3A2A"/>
    <w:rsid w:val="00EA3D1F"/>
    <w:rsid w:val="00EA6A09"/>
    <w:rsid w:val="00EA6B46"/>
    <w:rsid w:val="00EB3628"/>
    <w:rsid w:val="00EB4556"/>
    <w:rsid w:val="00EB4A11"/>
    <w:rsid w:val="00EB64C8"/>
    <w:rsid w:val="00EC1581"/>
    <w:rsid w:val="00ED4136"/>
    <w:rsid w:val="00ED5108"/>
    <w:rsid w:val="00ED6AE8"/>
    <w:rsid w:val="00ED7494"/>
    <w:rsid w:val="00ED74D2"/>
    <w:rsid w:val="00EE0001"/>
    <w:rsid w:val="00EE291B"/>
    <w:rsid w:val="00EE2CB2"/>
    <w:rsid w:val="00EE30EA"/>
    <w:rsid w:val="00EF485B"/>
    <w:rsid w:val="00EF5A6B"/>
    <w:rsid w:val="00F012CA"/>
    <w:rsid w:val="00F01752"/>
    <w:rsid w:val="00F017D2"/>
    <w:rsid w:val="00F0355A"/>
    <w:rsid w:val="00F04B1B"/>
    <w:rsid w:val="00F05C44"/>
    <w:rsid w:val="00F15753"/>
    <w:rsid w:val="00F21F92"/>
    <w:rsid w:val="00F24A7E"/>
    <w:rsid w:val="00F25604"/>
    <w:rsid w:val="00F2565C"/>
    <w:rsid w:val="00F32ABA"/>
    <w:rsid w:val="00F33868"/>
    <w:rsid w:val="00F33DC0"/>
    <w:rsid w:val="00F33F28"/>
    <w:rsid w:val="00F35A40"/>
    <w:rsid w:val="00F35FDE"/>
    <w:rsid w:val="00F375C7"/>
    <w:rsid w:val="00F377D2"/>
    <w:rsid w:val="00F40DE1"/>
    <w:rsid w:val="00F4142A"/>
    <w:rsid w:val="00F444F5"/>
    <w:rsid w:val="00F54FCB"/>
    <w:rsid w:val="00F618DB"/>
    <w:rsid w:val="00F62587"/>
    <w:rsid w:val="00F62FE7"/>
    <w:rsid w:val="00F631A6"/>
    <w:rsid w:val="00F639EC"/>
    <w:rsid w:val="00F63D0C"/>
    <w:rsid w:val="00F63E9E"/>
    <w:rsid w:val="00F63FEA"/>
    <w:rsid w:val="00F66AA7"/>
    <w:rsid w:val="00F67E52"/>
    <w:rsid w:val="00F75603"/>
    <w:rsid w:val="00F76843"/>
    <w:rsid w:val="00F776E1"/>
    <w:rsid w:val="00F77B60"/>
    <w:rsid w:val="00F77E8D"/>
    <w:rsid w:val="00F90F6B"/>
    <w:rsid w:val="00F91C47"/>
    <w:rsid w:val="00F925EB"/>
    <w:rsid w:val="00F97033"/>
    <w:rsid w:val="00FA1A49"/>
    <w:rsid w:val="00FA2E3F"/>
    <w:rsid w:val="00FA3430"/>
    <w:rsid w:val="00FA6ACD"/>
    <w:rsid w:val="00FA6DD0"/>
    <w:rsid w:val="00FA7A1D"/>
    <w:rsid w:val="00FB4F65"/>
    <w:rsid w:val="00FC28DF"/>
    <w:rsid w:val="00FC7A20"/>
    <w:rsid w:val="00FD1780"/>
    <w:rsid w:val="00FD2297"/>
    <w:rsid w:val="00FD406D"/>
    <w:rsid w:val="00FD6AC6"/>
    <w:rsid w:val="00FE2374"/>
    <w:rsid w:val="00FE3136"/>
    <w:rsid w:val="00FE4326"/>
    <w:rsid w:val="00FE50A3"/>
    <w:rsid w:val="00FE5204"/>
    <w:rsid w:val="00FE604C"/>
    <w:rsid w:val="00FF2000"/>
    <w:rsid w:val="00FF369D"/>
    <w:rsid w:val="00FF6457"/>
    <w:rsid w:val="00FF6CA3"/>
    <w:rsid w:val="00FF6D5F"/>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B94D47"/>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9581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chartered.college/impact_article/how-can-instructional-coaching-move-our-curriculum-from-paper-to-practice/" TargetMode="External"/><Relationship Id="rId13" Type="http://schemas.openxmlformats.org/officeDocument/2006/relationships/hyperlink" Target="https://educationendowmentfoundation.org.uk/support-for-schools/school-planning-support/2-targeted-academic-support" TargetMode="External"/><Relationship Id="rId18" Type="http://schemas.openxmlformats.org/officeDocument/2006/relationships/hyperlink" Target="https://www.kelsi.org.uk/__data/assets/pdf_file/0004/167278/SEMH-toolkit.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ducationendowmentfoundation.org.uk/support-for-schools/school-planning-support/1-high-quality-teaching" TargetMode="External"/><Relationship Id="rId12" Type="http://schemas.openxmlformats.org/officeDocument/2006/relationships/hyperlink" Target="https://educationendowmentfoundation.org.uk/support-for-schools/school-planning-support/2-targeted-academic-support" TargetMode="External"/><Relationship Id="rId17" Type="http://schemas.openxmlformats.org/officeDocument/2006/relationships/hyperlink" Target="https://d2tic4wvo1iusb.cloudfront.net/production/eef-guidance-reports/primary-sel/EEF_Social_and_Emotional_Learning.pdf?v=1701355067" TargetMode="External"/><Relationship Id="rId2" Type="http://schemas.openxmlformats.org/officeDocument/2006/relationships/styles" Target="styles.xml"/><Relationship Id="rId16" Type="http://schemas.openxmlformats.org/officeDocument/2006/relationships/hyperlink" Target="https://assets.publishing.service.gov.uk/media/66e2cd5a61763848f429d58f/Factors_influencing_primary_school_pupils__educational_outcomes.pdf" TargetMode="External"/><Relationship Id="rId20" Type="http://schemas.openxmlformats.org/officeDocument/2006/relationships/hyperlink" Target="https://teaching.blog.gov.uk/2023/11/07/top-tips-and-ideas-for-encouraging-strong-atten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5a7df7f9e5274a2e87daeb06/seven-claims-about-successful-school-leadership.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onesofregulation.com/research-and-evidence/" TargetMode="External"/><Relationship Id="rId23" Type="http://schemas.openxmlformats.org/officeDocument/2006/relationships/fontTable" Target="fontTable.xml"/><Relationship Id="rId10" Type="http://schemas.openxmlformats.org/officeDocument/2006/relationships/hyperlink" Target="https://educationendowmentfoundation.org.uk/support-for-schools/school-planning-support/1-high-quality-teaching" TargetMode="External"/><Relationship Id="rId19" Type="http://schemas.openxmlformats.org/officeDocument/2006/relationships/hyperlink" Target="https://childrenschoicetherapy.co.uk/sensory-circuits/" TargetMode="External"/><Relationship Id="rId4" Type="http://schemas.openxmlformats.org/officeDocument/2006/relationships/webSettings" Target="webSettings.xml"/><Relationship Id="rId9" Type="http://schemas.openxmlformats.org/officeDocument/2006/relationships/hyperlink" Target="https://assets.publishing.service.gov.uk/media/5a809a84e5274a2e8ab5117f/DFE-RR466_-_School_improvement_effective_school_partnerships.pdf" TargetMode="External"/><Relationship Id="rId14" Type="http://schemas.openxmlformats.org/officeDocument/2006/relationships/hyperlink" Target="https://educationendowmentfoundation.org.uk/education-evidence/teaching-learning-toolkit/parental-engage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Head Teacher</cp:lastModifiedBy>
  <cp:revision>2</cp:revision>
  <cp:lastPrinted>2014-09-18T05:26:00Z</cp:lastPrinted>
  <dcterms:created xsi:type="dcterms:W3CDTF">2026-01-02T12:57:00Z</dcterms:created>
  <dcterms:modified xsi:type="dcterms:W3CDTF">2026-01-02T12:57:00Z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